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DCC6B">
      <w:pPr>
        <w:rPr>
          <w:rFonts w:hint="eastAsia" w:eastAsia="宋体"/>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-885190</wp:posOffset>
                </wp:positionH>
                <wp:positionV relativeFrom="paragraph">
                  <wp:posOffset>2244725</wp:posOffset>
                </wp:positionV>
                <wp:extent cx="7061835" cy="487680"/>
                <wp:effectExtent l="0" t="0" r="0" b="0"/>
                <wp:wrapNone/>
                <wp:docPr id="1" name="文本框 13"/>
                <wp:cNvGraphicFramePr/>
                <a:graphic xmlns:a="http://schemas.openxmlformats.org/drawingml/2006/main">
                  <a:graphicData uri="http://schemas.microsoft.com/office/word/2010/wordprocessingShape">
                    <wps:wsp>
                      <wps:cNvSpPr txBox="1"/>
                      <wps:spPr>
                        <a:xfrm>
                          <a:off x="700405" y="5603875"/>
                          <a:ext cx="7061835" cy="487680"/>
                        </a:xfrm>
                        <a:prstGeom prst="rect">
                          <a:avLst/>
                        </a:prstGeom>
                        <a:noFill/>
                        <a:ln>
                          <a:noFill/>
                        </a:ln>
                      </wps:spPr>
                      <wps:txbx>
                        <w:txbxContent>
                          <w:p w14:paraId="15D40B21">
                            <w:pPr>
                              <w:jc w:val="center"/>
                              <w:rPr>
                                <w:rFonts w:hint="default" w:ascii="Arial" w:hAnsi="Arial" w:eastAsia="幼圆" w:cs="Arial"/>
                                <w:color w:val="FFFFFF" w:themeColor="background1"/>
                                <w:kern w:val="0"/>
                                <w:sz w:val="40"/>
                                <w:szCs w:val="40"/>
                                <w:lang w:val="en-US" w:eastAsia="zh-CN"/>
                                <w14:textFill>
                                  <w14:solidFill>
                                    <w14:schemeClr w14:val="bg1"/>
                                  </w14:solidFill>
                                </w14:textFill>
                              </w:rPr>
                            </w:pPr>
                            <w:r>
                              <w:rPr>
                                <w:rFonts w:hint="eastAsia" w:ascii="Arial" w:hAnsi="Arial" w:eastAsia="幼圆" w:cs="Arial"/>
                                <w:color w:val="FFFFFF" w:themeColor="background1"/>
                                <w:kern w:val="0"/>
                                <w:sz w:val="40"/>
                                <w:szCs w:val="40"/>
                                <w:lang w:val="en-US" w:eastAsia="zh-CN"/>
                                <w14:textFill>
                                  <w14:solidFill>
                                    <w14:schemeClr w14:val="bg1"/>
                                  </w14:solidFill>
                                </w14:textFill>
                              </w:rPr>
                              <w:t>《中华人民共和国密码法》颁布施行五周年来</w:t>
                            </w:r>
                          </w:p>
                        </w:txbxContent>
                      </wps:txbx>
                      <wps:bodyPr wrap="square" upright="0">
                        <a:spAutoFit/>
                      </wps:bodyPr>
                    </wps:wsp>
                  </a:graphicData>
                </a:graphic>
              </wp:anchor>
            </w:drawing>
          </mc:Choice>
          <mc:Fallback>
            <w:pict>
              <v:shape id="文本框 13" o:spid="_x0000_s1026" o:spt="202" type="#_x0000_t202" style="position:absolute;left:0pt;margin-left:-69.7pt;margin-top:176.75pt;height:38.4pt;width:556.05pt;z-index:251661312;mso-width-relative:page;mso-height-relative:page;" filled="f" stroked="f" coordsize="21600,21600" o:gfxdata="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cItJ+2gAAAAwBAAAPAAAAAAAAAAEAIAAAACIA&#10;AABkcnMvZG93bnJldi54bWxQSwECFAAUAAAACACHTuJABTDPrM4BAACCAwAADgAAAAAAAAABACAA&#10;AAApAQAAZHJzL2Uyb0RvYy54bWxQSwUGAAAAAAYABgBZAQAAaQUAAAAA&#10;">
                <v:fill on="f" focussize="0,0"/>
                <v:stroke on="f"/>
                <v:imagedata o:title=""/>
                <o:lock v:ext="edit" aspectratio="f"/>
                <v:textbox style="mso-fit-shape-to-text:t;">
                  <w:txbxContent>
                    <w:p w14:paraId="15D40B21">
                      <w:pPr>
                        <w:jc w:val="center"/>
                        <w:rPr>
                          <w:rFonts w:hint="default" w:ascii="Arial" w:hAnsi="Arial" w:eastAsia="幼圆" w:cs="Arial"/>
                          <w:color w:val="FFFFFF" w:themeColor="background1"/>
                          <w:kern w:val="0"/>
                          <w:sz w:val="40"/>
                          <w:szCs w:val="40"/>
                          <w:lang w:val="en-US" w:eastAsia="zh-CN"/>
                          <w14:textFill>
                            <w14:solidFill>
                              <w14:schemeClr w14:val="bg1"/>
                            </w14:solidFill>
                          </w14:textFill>
                        </w:rPr>
                      </w:pPr>
                      <w:r>
                        <w:rPr>
                          <w:rFonts w:hint="eastAsia" w:ascii="Arial" w:hAnsi="Arial" w:eastAsia="幼圆" w:cs="Arial"/>
                          <w:color w:val="FFFFFF" w:themeColor="background1"/>
                          <w:kern w:val="0"/>
                          <w:sz w:val="40"/>
                          <w:szCs w:val="40"/>
                          <w:lang w:val="en-US" w:eastAsia="zh-CN"/>
                          <w14:textFill>
                            <w14:solidFill>
                              <w14:schemeClr w14:val="bg1"/>
                            </w14:solidFill>
                          </w14:textFill>
                        </w:rPr>
                        <w:t>《中华人民共和国密码法》颁布施行五周年来</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-615950</wp:posOffset>
                </wp:positionH>
                <wp:positionV relativeFrom="paragraph">
                  <wp:posOffset>3317240</wp:posOffset>
                </wp:positionV>
                <wp:extent cx="6611620" cy="207264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6611620" cy="2072640"/>
                        </a:xfrm>
                        <a:prstGeom prst="rect">
                          <a:avLst/>
                        </a:prstGeom>
                        <a:noFill/>
                        <a:ln>
                          <a:noFill/>
                        </a:ln>
                      </wps:spPr>
                      <wps:txbx>
                        <w:txbxContent>
                          <w:p w14:paraId="4AC284F7">
                            <w:pPr>
                              <w:jc w:val="center"/>
                              <w:rPr>
                                <w:rFonts w:hint="default" w:ascii="微软雅黑" w:hAnsi="微软雅黑" w:eastAsia="微软雅黑" w:cs="微软雅黑"/>
                                <w:b/>
                                <w:bCs w:val="0"/>
                                <w:color w:val="FFFFFF" w:themeColor="background1"/>
                                <w:kern w:val="24"/>
                                <w:sz w:val="96"/>
                                <w:szCs w:val="96"/>
                                <w:lang w:val="en-US" w:eastAsia="zh-CN" w:bidi="ar"/>
                                <w14:textFill>
                                  <w14:solidFill>
                                    <w14:schemeClr w14:val="bg1"/>
                                  </w14:solidFill>
                                </w14:textFill>
                              </w:rPr>
                            </w:pPr>
                            <w:r>
                              <w:rPr>
                                <w:rFonts w:hint="eastAsia" w:ascii="微软雅黑" w:hAnsi="微软雅黑" w:eastAsia="微软雅黑" w:cs="微软雅黑"/>
                                <w:b/>
                                <w:bCs w:val="0"/>
                                <w:color w:val="FFFFFF" w:themeColor="background1"/>
                                <w:kern w:val="24"/>
                                <w:sz w:val="112"/>
                                <w:szCs w:val="112"/>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t>密码新政策办法</w:t>
                            </w:r>
                          </w:p>
                        </w:txbxContent>
                      </wps:txbx>
                      <wps:bodyPr wrap="square" upright="0">
                        <a:spAutoFit/>
                      </wps:bodyPr>
                    </wps:wsp>
                  </a:graphicData>
                </a:graphic>
              </wp:anchor>
            </w:drawing>
          </mc:Choice>
          <mc:Fallback>
            <w:pict>
              <v:shape id="文本框 11" o:spid="_x0000_s1026" o:spt="202" type="#_x0000_t202" style="position:absolute;left:0pt;margin-left:-48.5pt;margin-top:261.2pt;height:163.2pt;width:520.6pt;z-index:251664384;mso-width-relative:page;mso-height-relative:page;" filled="f" stroked="f" coordsize="21600,21600" o:gfxdata="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7zXpdkAAAALAQAADwAAAAAAAAABACAAAAAiAAAAZHJzL2Rvd25y&#10;ZXYueG1sUEsBAhQAFAAAAAgAh07iQDChbzjEAQAAeAMAAA4AAAAAAAAAAQAgAAAAKAEAAGRycy9l&#10;Mm9Eb2MueG1sUEsFBgAAAAAGAAYAWQEAAF4FAAAAAA==&#10;">
                <v:fill on="f" focussize="0,0"/>
                <v:stroke on="f"/>
                <v:imagedata o:title=""/>
                <o:lock v:ext="edit" aspectratio="f"/>
                <v:textbox style="mso-fit-shape-to-text:t;">
                  <w:txbxContent>
                    <w:p w14:paraId="4AC284F7">
                      <w:pPr>
                        <w:jc w:val="center"/>
                        <w:rPr>
                          <w:rFonts w:hint="default" w:ascii="微软雅黑" w:hAnsi="微软雅黑" w:eastAsia="微软雅黑" w:cs="微软雅黑"/>
                          <w:b/>
                          <w:bCs w:val="0"/>
                          <w:color w:val="FFFFFF" w:themeColor="background1"/>
                          <w:kern w:val="24"/>
                          <w:sz w:val="96"/>
                          <w:szCs w:val="96"/>
                          <w:lang w:val="en-US" w:eastAsia="zh-CN" w:bidi="ar"/>
                          <w14:textFill>
                            <w14:solidFill>
                              <w14:schemeClr w14:val="bg1"/>
                            </w14:solidFill>
                          </w14:textFill>
                        </w:rPr>
                      </w:pPr>
                      <w:r>
                        <w:rPr>
                          <w:rFonts w:hint="eastAsia" w:ascii="微软雅黑" w:hAnsi="微软雅黑" w:eastAsia="微软雅黑" w:cs="微软雅黑"/>
                          <w:b/>
                          <w:bCs w:val="0"/>
                          <w:color w:val="FFFFFF" w:themeColor="background1"/>
                          <w:kern w:val="24"/>
                          <w:sz w:val="112"/>
                          <w:szCs w:val="112"/>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t>密码新政策办法</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5594350</wp:posOffset>
                </wp:positionV>
                <wp:extent cx="4243070" cy="685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4243297" cy="685968"/>
                        </a:xfrm>
                        <a:prstGeom prst="rect">
                          <a:avLst/>
                        </a:prstGeom>
                        <a:noFill/>
                        <a:ln>
                          <a:noFill/>
                        </a:ln>
                      </wps:spPr>
                      <wps:txbx>
                        <w:txbxContent>
                          <w:p w14:paraId="458152C6">
                            <w:pPr>
                              <w:jc w:val="center"/>
                              <w:rPr>
                                <w:rFonts w:hint="default" w:ascii="微软雅黑" w:hAnsi="微软雅黑" w:eastAsia="微软雅黑" w:cs="微软雅黑"/>
                                <w:color w:val="FFFFFF" w:themeColor="background1"/>
                                <w:kern w:val="0"/>
                                <w:sz w:val="32"/>
                                <w:szCs w:val="32"/>
                                <w:lang w:val="en-US" w:eastAsia="zh-CN"/>
                                <w14:textFill>
                                  <w14:solidFill>
                                    <w14:schemeClr w14:val="bg1"/>
                                  </w14:solidFill>
                                </w14:textFill>
                              </w:rPr>
                            </w:pPr>
                            <w:r>
                              <w:rPr>
                                <w:rFonts w:hint="eastAsia" w:ascii="微软雅黑" w:hAnsi="微软雅黑" w:eastAsia="微软雅黑" w:cs="微软雅黑"/>
                                <w:color w:val="FFFFFF" w:themeColor="background1"/>
                                <w:kern w:val="0"/>
                                <w:sz w:val="32"/>
                                <w:szCs w:val="32"/>
                                <w:lang w:val="en-US" w:eastAsia="zh-CN"/>
                                <w14:textFill>
                                  <w14:solidFill>
                                    <w14:schemeClr w14:val="bg1"/>
                                  </w14:solidFill>
                                </w14:textFill>
                              </w:rPr>
                              <w:t>2024年12月</w:t>
                            </w:r>
                          </w:p>
                        </w:txbxContent>
                      </wps:txbx>
                      <wps:bodyPr wrap="square" upright="0">
                        <a:spAutoFit/>
                      </wps:bodyPr>
                    </wps:wsp>
                  </a:graphicData>
                </a:graphic>
              </wp:anchor>
            </w:drawing>
          </mc:Choice>
          <mc:Fallback>
            <w:pict>
              <v:shape id="文本框 13" o:spid="_x0000_s1026" o:spt="202" type="#_x0000_t202" style="position:absolute;left:0pt;margin-left:36.4pt;margin-top:440.5pt;height:54pt;width:334.1pt;z-index:251663360;mso-width-relative:page;mso-height-relative:page;" filled="f" stroked="f" coordsize="21600,21600" o:gfxdata="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wZt3fXAAAACgEAAA8AAAAAAAAAAQAgAAAAIgAAAGRycy9kb3ducmV2&#10;LnhtbFBLAQIUABQAAAAIAIdO4kBrIDPZxAEAAHgDAAAOAAAAAAAAAAEAIAAAACYBAABkcnMvZTJv&#10;RG9jLnhtbFBLBQYAAAAABgAGAFkBAABcBQAAAAA=&#10;">
                <v:fill on="f" focussize="0,0"/>
                <v:stroke on="f"/>
                <v:imagedata o:title=""/>
                <o:lock v:ext="edit" aspectratio="f"/>
                <v:textbox style="mso-fit-shape-to-text:t;">
                  <w:txbxContent>
                    <w:p w14:paraId="458152C6">
                      <w:pPr>
                        <w:jc w:val="center"/>
                        <w:rPr>
                          <w:rFonts w:hint="default" w:ascii="微软雅黑" w:hAnsi="微软雅黑" w:eastAsia="微软雅黑" w:cs="微软雅黑"/>
                          <w:color w:val="FFFFFF" w:themeColor="background1"/>
                          <w:kern w:val="0"/>
                          <w:sz w:val="32"/>
                          <w:szCs w:val="32"/>
                          <w:lang w:val="en-US" w:eastAsia="zh-CN"/>
                          <w14:textFill>
                            <w14:solidFill>
                              <w14:schemeClr w14:val="bg1"/>
                            </w14:solidFill>
                          </w14:textFill>
                        </w:rPr>
                      </w:pPr>
                      <w:r>
                        <w:rPr>
                          <w:rFonts w:hint="eastAsia" w:ascii="微软雅黑" w:hAnsi="微软雅黑" w:eastAsia="微软雅黑" w:cs="微软雅黑"/>
                          <w:color w:val="FFFFFF" w:themeColor="background1"/>
                          <w:kern w:val="0"/>
                          <w:sz w:val="32"/>
                          <w:szCs w:val="32"/>
                          <w:lang w:val="en-US" w:eastAsia="zh-CN"/>
                          <w14:textFill>
                            <w14:solidFill>
                              <w14:schemeClr w14:val="bg1"/>
                            </w14:solidFill>
                          </w14:textFill>
                        </w:rPr>
                        <w:t>2024年12月</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-637540</wp:posOffset>
                </wp:positionH>
                <wp:positionV relativeFrom="paragraph">
                  <wp:posOffset>2488565</wp:posOffset>
                </wp:positionV>
                <wp:extent cx="6611620" cy="2072640"/>
                <wp:effectExtent l="0" t="0" r="0" b="0"/>
                <wp:wrapNone/>
                <wp:docPr id="2" name="文本框 11"/>
                <wp:cNvGraphicFramePr/>
                <a:graphic xmlns:a="http://schemas.openxmlformats.org/drawingml/2006/main">
                  <a:graphicData uri="http://schemas.microsoft.com/office/word/2010/wordprocessingShape">
                    <wps:wsp>
                      <wps:cNvSpPr txBox="1"/>
                      <wps:spPr>
                        <a:xfrm>
                          <a:off x="624205" y="3782695"/>
                          <a:ext cx="6611620" cy="2072640"/>
                        </a:xfrm>
                        <a:prstGeom prst="rect">
                          <a:avLst/>
                        </a:prstGeom>
                        <a:noFill/>
                        <a:ln>
                          <a:noFill/>
                        </a:ln>
                      </wps:spPr>
                      <wps:txbx>
                        <w:txbxContent>
                          <w:p w14:paraId="4C0041D4">
                            <w:pPr>
                              <w:jc w:val="center"/>
                              <w:rPr>
                                <w:rFonts w:hint="default" w:ascii="微软雅黑" w:hAnsi="微软雅黑" w:eastAsia="微软雅黑" w:cs="微软雅黑"/>
                                <w:b/>
                                <w:bCs w:val="0"/>
                                <w:color w:val="FFFFFF" w:themeColor="background1"/>
                                <w:kern w:val="24"/>
                                <w:sz w:val="96"/>
                                <w:szCs w:val="96"/>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pPr>
                            <w:r>
                              <w:rPr>
                                <w:rFonts w:hint="eastAsia" w:ascii="微软雅黑" w:hAnsi="微软雅黑" w:eastAsia="微软雅黑" w:cs="微软雅黑"/>
                                <w:b/>
                                <w:bCs w:val="0"/>
                                <w:color w:val="FFFFFF" w:themeColor="background1"/>
                                <w:kern w:val="24"/>
                                <w:sz w:val="112"/>
                                <w:szCs w:val="112"/>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t>金融和重要领域</w:t>
                            </w:r>
                          </w:p>
                        </w:txbxContent>
                      </wps:txbx>
                      <wps:bodyPr wrap="square" upright="0">
                        <a:spAutoFit/>
                      </wps:bodyPr>
                    </wps:wsp>
                  </a:graphicData>
                </a:graphic>
              </wp:anchor>
            </w:drawing>
          </mc:Choice>
          <mc:Fallback>
            <w:pict>
              <v:shape id="文本框 11" o:spid="_x0000_s1026" o:spt="202" type="#_x0000_t202" style="position:absolute;left:0pt;margin-left:-50.2pt;margin-top:195.95pt;height:163.2pt;width:520.6pt;z-index:251660288;mso-width-relative:page;mso-height-relative:page;" filled="f" stroked="f" coordsize="21600,21600" o:gfxdata="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5xCft2QAAAAwBAAAPAAAAAAAAAAEAIAAAACIA&#10;AABkcnMvZG93bnJldi54bWxQSwECFAAUAAAACACHTuJAp+BC4s8BAACDAwAADgAAAAAAAAABACAA&#10;AAAoAQAAZHJzL2Uyb0RvYy54bWxQSwUGAAAAAAYABgBZAQAAaQUAAAAA&#10;">
                <v:fill on="f" focussize="0,0"/>
                <v:stroke on="f"/>
                <v:imagedata o:title=""/>
                <o:lock v:ext="edit" aspectratio="f"/>
                <v:textbox style="mso-fit-shape-to-text:t;">
                  <w:txbxContent>
                    <w:p w14:paraId="4C0041D4">
                      <w:pPr>
                        <w:jc w:val="center"/>
                        <w:rPr>
                          <w:rFonts w:hint="default" w:ascii="微软雅黑" w:hAnsi="微软雅黑" w:eastAsia="微软雅黑" w:cs="微软雅黑"/>
                          <w:b/>
                          <w:bCs w:val="0"/>
                          <w:color w:val="FFFFFF" w:themeColor="background1"/>
                          <w:kern w:val="24"/>
                          <w:sz w:val="96"/>
                          <w:szCs w:val="96"/>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pPr>
                      <w:r>
                        <w:rPr>
                          <w:rFonts w:hint="eastAsia" w:ascii="微软雅黑" w:hAnsi="微软雅黑" w:eastAsia="微软雅黑" w:cs="微软雅黑"/>
                          <w:b/>
                          <w:bCs w:val="0"/>
                          <w:color w:val="FFFFFF" w:themeColor="background1"/>
                          <w:kern w:val="24"/>
                          <w:sz w:val="112"/>
                          <w:szCs w:val="112"/>
                          <w:lang w:val="en-US" w:eastAsia="zh-CN" w:bidi="ar"/>
                          <w14:textFill>
                            <w14:gradFill>
                              <w14:gsLst>
                                <w14:gs w14:pos="48687">
                                  <w14:srgbClr w14:val="7AD9FB"/>
                                </w14:gs>
                                <w14:gs w14:pos="3000">
                                  <w14:srgbClr w14:val="2C84BC"/>
                                </w14:gs>
                                <w14:gs w14:pos="100000">
                                  <w14:srgbClr w14:val="FCFEFF"/>
                                </w14:gs>
                              </w14:gsLst>
                              <w14:lin w14:ang="18900000" w14:scaled="1"/>
                            </w14:gradFill>
                          </w14:textFill>
                        </w:rPr>
                        <w:t>金融和重要领域</w:t>
                      </w:r>
                    </w:p>
                  </w:txbxContent>
                </v:textbox>
              </v:shape>
            </w:pict>
          </mc:Fallback>
        </mc:AlternateContent>
      </w:r>
      <w:r>
        <w:rPr>
          <w:rFonts w:hint="eastAsia" w:eastAsia="宋体"/>
          <w:lang w:eastAsia="zh-CN"/>
        </w:rPr>
        <w:drawing>
          <wp:anchor distT="0" distB="0" distL="114935" distR="114935" simplePos="0" relativeHeight="251662336" behindDoc="1" locked="0" layoutInCell="1" allowOverlap="1">
            <wp:simplePos x="0" y="0"/>
            <wp:positionH relativeFrom="column">
              <wp:posOffset>-1143000</wp:posOffset>
            </wp:positionH>
            <wp:positionV relativeFrom="paragraph">
              <wp:posOffset>-922020</wp:posOffset>
            </wp:positionV>
            <wp:extent cx="7599680" cy="10767060"/>
            <wp:effectExtent l="0" t="0" r="1270" b="15240"/>
            <wp:wrapNone/>
            <wp:docPr id="13" name="图片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
                    <pic:cNvPicPr>
                      <a:picLocks noChangeAspect="1"/>
                    </pic:cNvPicPr>
                  </pic:nvPicPr>
                  <pic:blipFill>
                    <a:blip r:embed="rId5"/>
                    <a:stretch>
                      <a:fillRect/>
                    </a:stretch>
                  </pic:blipFill>
                  <pic:spPr>
                    <a:xfrm>
                      <a:off x="0" y="0"/>
                      <a:ext cx="7599680" cy="10767060"/>
                    </a:xfrm>
                    <a:prstGeom prst="rect">
                      <a:avLst/>
                    </a:prstGeom>
                  </pic:spPr>
                </pic:pic>
              </a:graphicData>
            </a:graphic>
          </wp:anchor>
        </w:drawing>
      </w:r>
    </w:p>
    <w:p w14:paraId="2B113BE6">
      <w:pPr>
        <w:pStyle w:val="11"/>
        <w:keepNext w:val="0"/>
        <w:keepLines w:val="0"/>
        <w:widowControl/>
        <w:suppressLineNumbers w:val="0"/>
        <w:spacing w:before="0" w:beforeAutospacing="0" w:after="0" w:afterAutospacing="0"/>
        <w:ind w:left="0" w:right="0" w:firstLine="0"/>
        <w:jc w:val="center"/>
        <w:rPr>
          <w:rFonts w:hint="eastAsia" w:ascii="黑体" w:hAnsi="黑体" w:eastAsia="黑体" w:cs="黑体"/>
          <w:b/>
          <w:bCs/>
          <w:sz w:val="36"/>
          <w:szCs w:val="36"/>
          <w:lang w:val="en-US" w:eastAsia="zh-CN"/>
        </w:rPr>
        <w:sectPr>
          <w:pgSz w:w="11906" w:h="16838"/>
          <w:pgMar w:top="1440" w:right="1800" w:bottom="1440" w:left="1800" w:header="851" w:footer="992" w:gutter="0"/>
          <w:pgNumType w:fmt="decimal" w:start="1"/>
          <w:cols w:space="425" w:num="1"/>
          <w:docGrid w:type="lines" w:linePitch="312" w:charSpace="0"/>
        </w:sectPr>
      </w:pPr>
    </w:p>
    <w:p w14:paraId="70BC8D3C">
      <w:pPr>
        <w:pStyle w:val="11"/>
        <w:keepNext w:val="0"/>
        <w:keepLines w:val="0"/>
        <w:widowControl/>
        <w:suppressLineNumbers w:val="0"/>
        <w:spacing w:before="0" w:beforeAutospacing="0" w:after="0" w:afterAutospacing="0"/>
        <w:ind w:left="0" w:right="0" w:firstLine="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前 言</w:t>
      </w:r>
    </w:p>
    <w:p w14:paraId="4D94DCC3">
      <w:pPr>
        <w:pStyle w:val="11"/>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sz w:val="36"/>
          <w:szCs w:val="36"/>
          <w:lang w:val="en-US" w:eastAsia="zh-CN"/>
        </w:rPr>
      </w:pPr>
    </w:p>
    <w:p w14:paraId="0229F6FB">
      <w:pPr>
        <w:pStyle w:val="11"/>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2019年10月26日，《中华人民共和国密码法》（简称《密码法》）正式颁布，自2020年1月1日起正式施行。密码应用在金融、公安、社保、交通、能源、水利、教育、广电、税务等领域不断向纵深拓展。</w:t>
      </w:r>
    </w:p>
    <w:p w14:paraId="2A44CAB4">
      <w:pPr>
        <w:pStyle w:val="11"/>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同时，5G、物联网、云计算、大数据、人工智能、区块链、量子通信、数字经济等新技术新业态正与密码紧密融合。密码持续发挥着在保障国家网络与信息安全中的重要作用。</w:t>
      </w:r>
    </w:p>
    <w:p w14:paraId="0BE9DE88">
      <w:pPr>
        <w:pStyle w:val="11"/>
        <w:keepNext w:val="0"/>
        <w:keepLines w:val="0"/>
        <w:widowControl/>
        <w:suppressLineNumbers w:val="0"/>
        <w:spacing w:before="0" w:beforeAutospacing="0" w:after="0" w:afterAutospacing="0"/>
        <w:ind w:left="0" w:right="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以下为《密码法》颁布施行五年来，我国金融和重要领域新出台的部分公开的密码相关政策办法。</w:t>
      </w:r>
    </w:p>
    <w:p w14:paraId="20DD531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57039232">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717DFC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65A0A85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69BE0CA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56C2427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75840181">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0E0B2D77">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992AB67">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DC638AD">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CD0A90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7501B15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5D15A4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1A26210">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1BC493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C3A164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7E497570">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9BB345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7ACCAC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00C6D7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8C8DA92">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091A3A7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B92CB1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60C9D83B">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38C8E93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sdt>
      <w:sdtPr>
        <w:rPr>
          <w:rFonts w:ascii="宋体" w:hAnsi="宋体" w:eastAsia="宋体" w:cstheme="minorBidi"/>
          <w:b/>
          <w:bCs/>
          <w:kern w:val="2"/>
          <w:sz w:val="28"/>
          <w:szCs w:val="36"/>
          <w:lang w:val="en-US" w:eastAsia="zh-CN" w:bidi="ar-SA"/>
        </w:rPr>
        <w:id w:val="147464623"/>
        <w15:color w:val="DBDBDB"/>
        <w:docPartObj>
          <w:docPartGallery w:val="Table of Contents"/>
          <w:docPartUnique/>
        </w:docPartObj>
      </w:sdtPr>
      <w:sdtEndPr>
        <w:rPr>
          <w:rFonts w:hint="eastAsia" w:ascii="宋体" w:hAnsi="宋体" w:eastAsia="宋体" w:cs="宋体"/>
          <w:b/>
          <w:bCs w:val="0"/>
          <w:kern w:val="0"/>
          <w:sz w:val="24"/>
          <w:szCs w:val="24"/>
          <w:lang w:val="en-US" w:eastAsia="zh-CN" w:bidi="ar"/>
        </w:rPr>
      </w:sdtEndPr>
      <w:sdtContent>
        <w:p w14:paraId="0BB8C907">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黑体" w:hAnsi="黑体" w:eastAsia="黑体" w:cs="黑体"/>
              <w:b/>
              <w:bCs/>
              <w:sz w:val="36"/>
              <w:szCs w:val="36"/>
            </w:rPr>
            <w:t>目</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录</w:t>
          </w:r>
        </w:p>
        <w:p w14:paraId="7F03D989">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p>
        <w:p w14:paraId="7D7A12BD">
          <w:pPr>
            <w:pStyle w:val="8"/>
            <w:tabs>
              <w:tab w:val="right" w:leader="dot" w:pos="8306"/>
            </w:tabs>
            <w:rPr>
              <w:rFonts w:hint="eastAsia" w:ascii="仿宋_GB2312" w:hAnsi="仿宋_GB2312" w:eastAsia="仿宋_GB2312" w:cs="仿宋_GB2312"/>
              <w:sz w:val="32"/>
              <w:szCs w:val="32"/>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TOC \o "1-3" \h \u </w:instrText>
          </w:r>
          <w:r>
            <w:rPr>
              <w:rFonts w:hint="eastAsia" w:ascii="宋体" w:hAnsi="宋体" w:eastAsia="宋体" w:cs="宋体"/>
              <w:b w:val="0"/>
              <w:bCs w:val="0"/>
              <w:sz w:val="28"/>
              <w:szCs w:val="28"/>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_Toc14505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一、金融领域密码应用 </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_Toc14505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71C48F5F">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_Toc28728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二、基础设施网络密码应用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_Toc28728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2CAFF6FB">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_Toc16979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（一）基础信息网络密码应用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_Toc16979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7FCD1267">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_Toc412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（二）交通运输网络密码应用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50179EBC">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_Toc803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（三）能源基础设施网络密码应用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52D021B7">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_Toc24539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 xml:space="preserve">（四）资源信息化网络密码应用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_Toc24539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7C651794">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_Toc1916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 xml:space="preserve">（五）城市基础设施网络密码应用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65F2A808">
          <w:pPr>
            <w:pStyle w:val="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_Toc29229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三、密码与数字经济融合应用 </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_Toc29229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581B4AEE">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_Toc31891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 xml:space="preserve">（一）现代农业密码应用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_Toc31891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076266AA">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_Toc28771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 xml:space="preserve">（二）先进制造业密码应用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3C5A733B">
          <w:pPr>
            <w:pStyle w:val="9"/>
            <w:tabs>
              <w:tab w:val="right" w:leader="dot" w:pos="8306"/>
            </w:tabs>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_Toc17564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 xml:space="preserve">（三）现代服务业及新兴产业密码应用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1C140388">
          <w:pPr>
            <w:pStyle w:val="9"/>
            <w:tabs>
              <w:tab w:val="right" w:leader="dot" w:pos="8306"/>
            </w:tabs>
            <w:ind w:left="0" w:leftChars="0" w:firstLine="0" w:firstLineChars="0"/>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_Toc16103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四、信息惠民密码应用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_Toc16103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7E5CCDC1">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_Toc16103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（一）电子政务密码应用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6CAB984D">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_Toc6483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 xml:space="preserve">（二）社会治理密码应用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70331EB7">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_Toc25491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lang w:val="en-US" w:eastAsia="zh-CN"/>
            </w:rPr>
            <w:t xml:space="preserve">（三）民生保障密码应用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14:paraId="46AEBADD">
          <w:pPr>
            <w:pStyle w:val="8"/>
            <w:tabs>
              <w:tab w:val="right" w:leader="dot" w:pos="8306"/>
            </w:tabs>
            <w:rPr>
              <w:rFonts w:hint="eastAsia" w:ascii="宋体" w:hAnsi="宋体" w:eastAsia="宋体" w:cs="宋体"/>
              <w:sz w:val="28"/>
              <w:szCs w:val="28"/>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_Toc6137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五、密码科技创新和基础支撑能力</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_Toc6137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1A80614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r>
            <w:rPr>
              <w:rFonts w:hint="eastAsia" w:ascii="宋体" w:hAnsi="宋体" w:eastAsia="宋体" w:cs="宋体"/>
              <w:bCs w:val="0"/>
              <w:sz w:val="28"/>
              <w:szCs w:val="28"/>
            </w:rPr>
            <w:fldChar w:fldCharType="end"/>
          </w:r>
        </w:p>
      </w:sdtContent>
    </w:sdt>
    <w:p w14:paraId="547664A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BFC941D">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4362D9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3BEE0D78">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7DA9294C">
      <w:pPr>
        <w:pStyle w:val="11"/>
        <w:keepNext w:val="0"/>
        <w:keepLines w:val="0"/>
        <w:widowControl/>
        <w:suppressLineNumbers w:val="0"/>
        <w:spacing w:before="0" w:beforeAutospacing="0" w:after="0" w:afterAutospacing="0"/>
        <w:ind w:left="0" w:right="0" w:firstLine="0"/>
        <w:rPr>
          <w:rStyle w:val="17"/>
          <w:rFonts w:hint="eastAsia"/>
          <w:lang w:val="en-US" w:eastAsia="zh-CN"/>
        </w:rPr>
        <w:sectPr>
          <w:pgSz w:w="11906" w:h="16838"/>
          <w:pgMar w:top="1440" w:right="1800" w:bottom="1440" w:left="1800" w:header="851" w:footer="992" w:gutter="0"/>
          <w:pgNumType w:fmt="decimal" w:start="1"/>
          <w:cols w:space="425" w:num="1"/>
          <w:docGrid w:type="lines" w:linePitch="312" w:charSpace="0"/>
        </w:sectPr>
      </w:pPr>
    </w:p>
    <w:p w14:paraId="28E76990">
      <w:pPr>
        <w:pStyle w:val="11"/>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bookmarkStart w:id="0" w:name="_Toc14505"/>
      <w:r>
        <w:rPr>
          <w:rStyle w:val="17"/>
          <w:rFonts w:hint="eastAsia" w:ascii="黑体" w:hAnsi="黑体" w:eastAsia="黑体" w:cs="黑体"/>
          <w:sz w:val="28"/>
          <w:szCs w:val="28"/>
          <w:lang w:val="en-US" w:eastAsia="zh-CN"/>
        </w:rPr>
        <w:t>金融领域密码应用</w:t>
      </w:r>
      <w:r>
        <w:rPr>
          <w:rStyle w:val="17"/>
          <w:rFonts w:hint="eastAsia" w:ascii="黑体" w:hAnsi="黑体" w:eastAsia="黑体" w:cs="黑体"/>
          <w:sz w:val="28"/>
          <w:szCs w:val="28"/>
          <w:lang w:val="en-US" w:eastAsia="zh-CN"/>
        </w:rPr>
        <w:br w:type="textWrapping"/>
      </w:r>
      <w:bookmarkEnd w:id="0"/>
      <w:bookmarkStart w:id="15" w:name="_GoBack"/>
      <w:bookmarkEnd w:id="15"/>
    </w:p>
    <w:p w14:paraId="6946B12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《国家金融监督管理总局关于印发银行保险机构数据安全管理办法的通知》</w:t>
      </w:r>
    </w:p>
    <w:p w14:paraId="35767367">
      <w:pPr>
        <w:pStyle w:val="11"/>
        <w:keepNext w:val="0"/>
        <w:keepLines w:val="0"/>
        <w:widowControl/>
        <w:suppressLineNumbers w:val="0"/>
        <w:spacing w:before="0" w:beforeAutospacing="0" w:after="0" w:afterAutospacing="0"/>
        <w:ind w:left="240" w:right="0" w:hanging="240" w:hanging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金规〔2024〕24号，自2024年12月27日起施行</w:t>
      </w:r>
    </w:p>
    <w:p w14:paraId="1DC49D3B">
      <w:pPr>
        <w:pStyle w:val="11"/>
        <w:keepNext w:val="0"/>
        <w:keepLines w:val="0"/>
        <w:widowControl/>
        <w:suppressLineNumbers w:val="0"/>
        <w:spacing w:before="0" w:beforeAutospacing="0" w:after="0" w:afterAutospacing="0"/>
        <w:ind w:right="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第二十八条　银行保险机构应当按照“业务必要授权”原则，对敏感级及以上数据严格实施授权管理，制定数据访问闭环管理机制，并对数据访问行为实施审计。确因业务需要从生产环境提取数据的，应当建立严格的审批程序，并明确数据使用或者保存期限。</w:t>
      </w:r>
    </w:p>
    <w:p w14:paraId="47B50C48">
      <w:pPr>
        <w:pStyle w:val="11"/>
        <w:keepNext w:val="0"/>
        <w:keepLines w:val="0"/>
        <w:widowControl/>
        <w:suppressLineNumbers w:val="0"/>
        <w:spacing w:before="0" w:beforeAutospacing="0" w:after="0" w:afterAutospacing="0"/>
        <w:ind w:right="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银行保险机构利用互联网等信息网络开展数据处理活动时，要落实网络安全等级保护、关键信息基础设施安全保护、密码保护等制度要求。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"https://www.gov.cn/zhengce/zhengceku/202412/content_6995081.htm"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https://www.gov.cn/zhengce/zhengceku/202412/content_6995081.htm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7A08A6C6">
      <w:pPr>
        <w:pStyle w:val="11"/>
        <w:keepNext w:val="0"/>
        <w:keepLines w:val="0"/>
        <w:widowControl/>
        <w:suppressLineNumbers w:val="0"/>
        <w:spacing w:before="0" w:beforeAutospacing="0" w:after="0" w:afterAutospacing="0"/>
        <w:ind w:right="0" w:firstLine="480" w:firstLineChars="200"/>
        <w:rPr>
          <w:rFonts w:hint="eastAsia" w:ascii="宋体" w:hAnsi="宋体" w:eastAsia="宋体" w:cs="宋体"/>
          <w:b w:val="0"/>
          <w:bCs w:val="0"/>
          <w:sz w:val="24"/>
          <w:szCs w:val="24"/>
          <w:lang w:val="en-US" w:eastAsia="zh-CN"/>
        </w:rPr>
      </w:pPr>
    </w:p>
    <w:p w14:paraId="5583C159">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《中国人民银行 国家发展改革委 工业和信息化部 金融监管总局 中国证监会 国家数据局 国家外汇局关于印发＜推动数字金融高质量发展行动方案＞的通知》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银发〔2024〕200号，发文时间：2024年11月21日</w:t>
      </w:r>
    </w:p>
    <w:p w14:paraId="461E693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（十七）加强数据和网络安全防护。指导金融机构严格落实数据保护法律法规和标准规范，完善数据安全管理体系，强化数据安全的商用密码保护，建立健全全流程数据安全管理机制。</w:t>
      </w:r>
    </w:p>
    <w:p w14:paraId="7D7AA59E">
      <w:pPr>
        <w:pStyle w:val="11"/>
        <w:keepNext w:val="0"/>
        <w:keepLines w:val="0"/>
        <w:widowControl/>
        <w:suppressLineNumbers w:val="0"/>
        <w:spacing w:before="0" w:beforeAutospacing="0" w:after="0" w:afterAutospacing="0"/>
        <w:ind w:left="0" w:right="0" w:firstLine="0"/>
        <w:rPr>
          <w:rStyle w:val="16"/>
          <w:rFonts w:hint="eastAsia" w:ascii="宋体" w:hAnsi="宋体" w:eastAsia="宋体" w:cs="宋体"/>
          <w:b w:val="0"/>
          <w:bCs w:val="0"/>
          <w:kern w:val="2"/>
          <w:sz w:val="24"/>
          <w:szCs w:val="24"/>
          <w:lang w:val="en-US" w:eastAsia="zh-CN" w:bidi="ar-SA"/>
        </w:rPr>
      </w:pPr>
      <w:r>
        <w:rPr>
          <w:rStyle w:val="16"/>
          <w:rFonts w:hint="eastAsia" w:ascii="宋体" w:hAnsi="宋体" w:eastAsia="宋体" w:cs="宋体"/>
          <w:b w:val="0"/>
          <w:bCs w:val="0"/>
          <w:kern w:val="2"/>
          <w:sz w:val="24"/>
          <w:szCs w:val="24"/>
          <w:lang w:val="en-US" w:eastAsia="zh-CN" w:bidi="ar-SA"/>
        </w:rPr>
        <w:fldChar w:fldCharType="begin"/>
      </w:r>
      <w:r>
        <w:rPr>
          <w:rStyle w:val="16"/>
          <w:rFonts w:hint="eastAsia" w:ascii="宋体" w:hAnsi="宋体" w:eastAsia="宋体" w:cs="宋体"/>
          <w:b w:val="0"/>
          <w:bCs w:val="0"/>
          <w:kern w:val="2"/>
          <w:sz w:val="24"/>
          <w:szCs w:val="24"/>
          <w:lang w:val="en-US" w:eastAsia="zh-CN" w:bidi="ar-SA"/>
        </w:rPr>
        <w:instrText xml:space="preserve"> HYPERLINK "http://www.pbc.gov.cn/goutongjiaoliu/113456/113469/5519902/index.html" </w:instrText>
      </w:r>
      <w:r>
        <w:rPr>
          <w:rStyle w:val="16"/>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http://www.pbc.gov.cn/goutongjiaoliu/113456/113469/5519902/index.html</w:t>
      </w:r>
      <w:r>
        <w:rPr>
          <w:rStyle w:val="16"/>
          <w:rFonts w:hint="eastAsia" w:ascii="宋体" w:hAnsi="宋体" w:eastAsia="宋体" w:cs="宋体"/>
          <w:b w:val="0"/>
          <w:bCs w:val="0"/>
          <w:kern w:val="2"/>
          <w:sz w:val="24"/>
          <w:szCs w:val="24"/>
          <w:lang w:val="en-US" w:eastAsia="zh-CN" w:bidi="ar-SA"/>
        </w:rPr>
        <w:fldChar w:fldCharType="end"/>
      </w:r>
    </w:p>
    <w:p w14:paraId="1B46E8D6">
      <w:pPr>
        <w:pStyle w:val="11"/>
        <w:keepNext w:val="0"/>
        <w:keepLines w:val="0"/>
        <w:widowControl/>
        <w:suppressLineNumbers w:val="0"/>
        <w:spacing w:before="0" w:beforeAutospacing="0" w:after="0" w:afterAutospacing="0"/>
        <w:ind w:right="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p>
    <w:p w14:paraId="1DC5EDA1">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《证券期货业网络和信息安全管理办法》</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中国证券监督管理委员会令（第218号），自</w:t>
      </w:r>
      <w:r>
        <w:rPr>
          <w:rFonts w:hint="eastAsia" w:ascii="宋体" w:hAnsi="宋体" w:eastAsia="宋体" w:cs="宋体"/>
          <w:i w:val="0"/>
          <w:iCs w:val="0"/>
          <w:caps w:val="0"/>
          <w:color w:val="333333"/>
          <w:spacing w:val="0"/>
          <w:sz w:val="24"/>
          <w:szCs w:val="24"/>
          <w:shd w:val="clear" w:fill="FFFFFF"/>
        </w:rPr>
        <w:t>2023年5月1日起施行</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第二十六条　核心机构应当对交易、行情、开户、结算、风控、通信等重要信息系统具有自主开发能力，掌握执行程序和源代码并安全可靠存放。</w:t>
      </w:r>
    </w:p>
    <w:p w14:paraId="5B01245E">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经营机构应当根据自身发展需要，加强自主研发能力建设，持续提升自主可控能力。</w:t>
      </w:r>
    </w:p>
    <w:p w14:paraId="11528DF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核心机构和经营机构应当按照国家及中国证监会有关要求，开展信息技术应用创新以及商用密码应用相关工作。</w:t>
      </w:r>
    </w:p>
    <w:p w14:paraId="299981C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"https://www.gov.cn/gongbao/2023/issue_10526/202306/content_6887131.html"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https://www.gov.cn/gongbao/2023/issue_10526/202306/content_6887131.html</w:t>
      </w:r>
      <w:r>
        <w:rPr>
          <w:rFonts w:hint="eastAsia" w:ascii="宋体" w:hAnsi="宋体" w:eastAsia="宋体" w:cs="宋体"/>
          <w:b w:val="0"/>
          <w:bCs w:val="0"/>
          <w:kern w:val="2"/>
          <w:sz w:val="24"/>
          <w:szCs w:val="24"/>
          <w:lang w:val="en-US" w:eastAsia="zh-CN" w:bidi="ar-SA"/>
        </w:rPr>
        <w:fldChar w:fldCharType="end"/>
      </w:r>
      <w:r>
        <w:rPr>
          <w:rStyle w:val="17"/>
          <w:rFonts w:hint="eastAsia" w:ascii="宋体" w:hAnsi="宋体" w:eastAsia="宋体" w:cs="宋体"/>
          <w:sz w:val="28"/>
          <w:szCs w:val="28"/>
          <w:lang w:val="en-US" w:eastAsia="zh-CN"/>
        </w:rPr>
        <w:br w:type="textWrapping"/>
      </w:r>
    </w:p>
    <w:p w14:paraId="4D510E59">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《银行保险机构消费者权益保护管理办法》</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中国银行保险监督管理委员会令2022 年第9号，自2023年3月1日起施行</w:t>
      </w:r>
    </w:p>
    <w:p w14:paraId="6C14571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第四十五条　银行保险机构应当在消费者授权同意等基础上与合作方处理消费者个人信息，在合作协议中应当约定数据保护责任、保密义务、违约责任、合同终止和突发情况下的处置条款。</w:t>
      </w:r>
    </w:p>
    <w:p w14:paraId="2CFD667D">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合作过程中，银行保险机构应当严格控制合作方行为与权限，通过加密传输、安全隔离、权限管控、监测报警、去标识化等方式，防范数据滥用或者泄露风险。</w:t>
      </w:r>
    </w:p>
    <w:p w14:paraId="33BB4AD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"https://www.gov.cn/gongbao/content/2023/content_5753317.htm"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https://www.gov.cn/gongbao/content/2023/content_5753317.htm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2"/>
          <w:sz w:val="24"/>
          <w:szCs w:val="24"/>
          <w:lang w:val="en-US" w:eastAsia="zh-CN" w:bidi="ar-SA"/>
        </w:rPr>
        <w:t>中国人民银行 市场监管总局 银保监会 证监会关于印发＜金融标准化“十四五”发展规划＞的通知</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银发〔2022〕18号，成文日期为2022年1月23日</w:t>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auto" w:fill="auto"/>
          <w:lang w:val="en-US" w:eastAsia="zh-CN"/>
        </w:rPr>
        <w:t>　　</w:t>
      </w:r>
      <w:r>
        <w:rPr>
          <w:rFonts w:hint="eastAsia" w:ascii="宋体" w:hAnsi="宋体" w:eastAsia="宋体" w:cs="宋体"/>
          <w:b w:val="0"/>
          <w:bCs w:val="0"/>
          <w:kern w:val="2"/>
          <w:sz w:val="24"/>
          <w:szCs w:val="24"/>
          <w:lang w:val="en-US" w:eastAsia="zh-CN" w:bidi="ar-SA"/>
        </w:rPr>
        <w:t>·健全金融业网络安全与数据安全标准体系。建立健全金融业关键信息基础设施保护标准体系，支持提升安全防护能力。加强金融网络安全能力评估、风险排查、安全防御、漏洞管理等标准建设，助力提升网络安全威胁发现、监测预警、应急处置、攻击溯源能力。推动金融信息科技外包服务评价、金融机构安全运营中心建设、金融数据分级、生命周期安全与评估、商用密码应用等标准供给与实施。</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"http://www.gov.cn/xinwen/2022-02/09/5672688/files/babb8d6995b14c5e9f1ffac89c6fd999.pdf"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http://www.gov.cn/xinwen/2022-02/09/5672688/files/babb8d6995b14c5e9f1ffac89c6fd999.pdf</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p>
    <w:p w14:paraId="4D2D357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《中国人民银行关于加强支付受理终端及相关业务管理的通知》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银发〔2021〕259号，成文日期为2021年10月12日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·清算机构、收单机构应当按照《中国人民银行关于强化银行卡受理终端安全管理的通知》（银发〔2017〕21号）规定，对银行卡受理终端采取密码识别技术等有效手段，确保银行卡受理终端序列号不被篡改。</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"http://www.gov.cn/zhengce/zhengceku/2022-02/25/content_5675558.htm"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http://www.gov.cn/zhengce/zhengceku/2022-02/25/content_5675558.htm</w:t>
      </w:r>
      <w:r>
        <w:rPr>
          <w:rFonts w:hint="eastAsia" w:ascii="宋体" w:hAnsi="宋体" w:eastAsia="宋体" w:cs="宋体"/>
          <w:b w:val="0"/>
          <w:bCs w:val="0"/>
          <w:sz w:val="24"/>
          <w:szCs w:val="24"/>
          <w:lang w:val="en-US" w:eastAsia="zh-CN"/>
        </w:rPr>
        <w:fldChar w:fldCharType="end"/>
      </w:r>
    </w:p>
    <w:p w14:paraId="4E16F67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《理财公司理财产品销售管理暂行办法》</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中国银行保险监督管理委员会令2021年第4号，自2021年6月27日起施行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第七条　理财产品销售机构从事理财产品销售业务活动，应当持续具备下列条件：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p>
    <w:p w14:paraId="22C8EE71">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　　（四）具备完善的防火墙、入侵检测、数据加密以及灾难恢复等信息安全管理体系和设施；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lang w:val="en-US" w:eastAsia="zh-CN"/>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"https://www.gov.cn/gongbao/content/2021/content_5625997.htm"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https://www.gov.cn/gongbao/content/2021/content_5625997.htm</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《证券基金经营机构信息技术管理办法》</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中国证券监督管理委员会令第179号，自</w:t>
      </w:r>
      <w:r>
        <w:rPr>
          <w:rFonts w:hint="eastAsia" w:ascii="宋体" w:hAnsi="宋体" w:eastAsia="宋体" w:cs="宋体"/>
          <w:b w:val="0"/>
          <w:bCs w:val="0"/>
          <w:kern w:val="2"/>
          <w:sz w:val="24"/>
          <w:szCs w:val="24"/>
          <w:lang w:val="en-US" w:eastAsia="zh-CN" w:bidi="ar-SA"/>
        </w:rPr>
        <w:t>2021年1月15日起修正施行</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xml:space="preserve">    第三十一条　证券基金经营机构应当完善网络隔离、用户认证、访问控制、数据加密、数据备份、数据销毁、日志记录、病毒防范和非法入侵检测等安全保障措施，保护经营数据和客户信息安全，防范信息泄露与损毁。</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"https://www.gov.cn/gongbao/content/2021/content_5600087.htm"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https://www.gov.cn/gongbao/content/2021/content_5600087.htm</w:t>
      </w:r>
      <w:r>
        <w:rPr>
          <w:rStyle w:val="16"/>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end"/>
      </w:r>
    </w:p>
    <w:p w14:paraId="1F3C64F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《中国银保监会关于印发监管数据安全管理办法（试行）的通知》</w:t>
      </w:r>
    </w:p>
    <w:p w14:paraId="5C4ADE4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银保监发〔2020〕43号，自</w:t>
      </w:r>
      <w:r>
        <w:rPr>
          <w:rFonts w:hint="eastAsia" w:ascii="宋体" w:hAnsi="宋体" w:eastAsia="宋体" w:cs="宋体"/>
          <w:b w:val="0"/>
          <w:bCs w:val="0"/>
          <w:kern w:val="2"/>
          <w:sz w:val="24"/>
          <w:szCs w:val="24"/>
          <w:lang w:val="en-US" w:eastAsia="zh-CN" w:bidi="ar-SA"/>
        </w:rPr>
        <w:t>2020年9月23日起施行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本办法所称监管数据安全是指监管数据在采集、处理、存储、使用等活动（以下简称监管数据活动）中，处于可用、完整和可审计状态，未发生泄露、篡改、损毁、丢失或非法使用等情况。</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银保监会建立健全监管数据安全协同管理体系，推动银保监会有关业务部门、各级派出机构、受托机构等共同参与监管数据安全保护工作，加强培训教育，形成共同维护监管数据安全的良好环境。</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"http://www.cbirc.gov.cn/cn/view/pages/ItemDetail.html?docId=959801&amp;itemId=928&amp;generaltype=0"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http://www.cbirc.gov.cn/cn/view/pages/ItemDetail.html?docId=959801&amp;itemId=928&amp;generaltype=0</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121F55E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《中国银保监会办公厅关于预防银行业保险业从业人员金融违法犯罪的指导意见》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银保监办发﹝2020﹞18号，成文日期为2020年2月24日</w:t>
      </w:r>
    </w:p>
    <w:p w14:paraId="7D9E4C35">
      <w:pPr>
        <w:ind w:firstLine="48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·银行保险机构要制定内部网络安全管理制度和操作规程，建立监督制约机制，确保制度得到刚性执行。加强数据安全管理，严格控制数据授权范围，实现数据分类、重要数据备份和加密。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"http://www.gov.cn/zhengce/zhengceku/2020-03/24/content_5494985.htm"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http://www.gov.cn/zhengce/zhengceku/2020-03/24/content_5494985.htm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rPr>
        <w:br w:type="textWrapping"/>
      </w:r>
    </w:p>
    <w:p w14:paraId="62008BB1">
      <w:pPr>
        <w:ind w:firstLine="480"/>
        <w:jc w:val="left"/>
        <w:rPr>
          <w:rFonts w:hint="eastAsia" w:ascii="宋体" w:hAnsi="宋体" w:eastAsia="宋体" w:cs="宋体"/>
          <w:b w:val="0"/>
          <w:bCs w:val="0"/>
          <w:sz w:val="24"/>
          <w:szCs w:val="24"/>
        </w:rPr>
      </w:pPr>
    </w:p>
    <w:p w14:paraId="2B1596F9">
      <w:pPr>
        <w:ind w:firstLine="480"/>
        <w:jc w:val="left"/>
        <w:rPr>
          <w:rFonts w:hint="eastAsia" w:ascii="宋体" w:hAnsi="宋体" w:eastAsia="宋体" w:cs="宋体"/>
          <w:b w:val="0"/>
          <w:bCs w:val="0"/>
          <w:sz w:val="24"/>
          <w:szCs w:val="24"/>
        </w:rPr>
      </w:pPr>
    </w:p>
    <w:p w14:paraId="36D77C82">
      <w:pPr>
        <w:ind w:firstLine="480"/>
        <w:jc w:val="left"/>
        <w:rPr>
          <w:rFonts w:hint="eastAsia" w:ascii="宋体" w:hAnsi="宋体" w:eastAsia="宋体" w:cs="宋体"/>
          <w:b w:val="0"/>
          <w:bCs w:val="0"/>
          <w:sz w:val="24"/>
          <w:szCs w:val="24"/>
        </w:rPr>
      </w:pPr>
    </w:p>
    <w:p w14:paraId="1D7358CA">
      <w:pPr>
        <w:ind w:firstLine="480"/>
        <w:jc w:val="left"/>
        <w:rPr>
          <w:rFonts w:hint="eastAsia" w:ascii="宋体" w:hAnsi="宋体" w:eastAsia="宋体" w:cs="宋体"/>
          <w:b w:val="0"/>
          <w:bCs w:val="0"/>
          <w:sz w:val="24"/>
          <w:szCs w:val="24"/>
        </w:rPr>
      </w:pPr>
    </w:p>
    <w:p w14:paraId="1E816C42">
      <w:pPr>
        <w:ind w:firstLine="480"/>
        <w:jc w:val="left"/>
        <w:rPr>
          <w:rFonts w:hint="eastAsia" w:ascii="宋体" w:hAnsi="宋体" w:eastAsia="宋体" w:cs="宋体"/>
          <w:b w:val="0"/>
          <w:bCs w:val="0"/>
          <w:sz w:val="24"/>
          <w:szCs w:val="24"/>
        </w:rPr>
      </w:pPr>
    </w:p>
    <w:p w14:paraId="52E80E2E">
      <w:pPr>
        <w:ind w:firstLine="480"/>
        <w:jc w:val="left"/>
        <w:rPr>
          <w:rFonts w:hint="eastAsia" w:ascii="宋体" w:hAnsi="宋体" w:eastAsia="宋体" w:cs="宋体"/>
          <w:b w:val="0"/>
          <w:bCs w:val="0"/>
          <w:sz w:val="24"/>
          <w:szCs w:val="24"/>
        </w:rPr>
      </w:pPr>
    </w:p>
    <w:p w14:paraId="4B7DEBD1">
      <w:pPr>
        <w:ind w:firstLine="480"/>
        <w:jc w:val="left"/>
        <w:rPr>
          <w:rFonts w:hint="eastAsia" w:ascii="宋体" w:hAnsi="宋体" w:eastAsia="宋体" w:cs="宋体"/>
          <w:b w:val="0"/>
          <w:bCs w:val="0"/>
          <w:sz w:val="24"/>
          <w:szCs w:val="24"/>
        </w:rPr>
      </w:pPr>
    </w:p>
    <w:p w14:paraId="4835CCA8">
      <w:pPr>
        <w:ind w:firstLine="480"/>
        <w:jc w:val="left"/>
        <w:rPr>
          <w:rFonts w:hint="eastAsia" w:ascii="宋体" w:hAnsi="宋体" w:eastAsia="宋体" w:cs="宋体"/>
          <w:b w:val="0"/>
          <w:bCs w:val="0"/>
          <w:sz w:val="24"/>
          <w:szCs w:val="24"/>
        </w:rPr>
      </w:pPr>
    </w:p>
    <w:p w14:paraId="3A2C250B">
      <w:pPr>
        <w:ind w:firstLine="480"/>
        <w:jc w:val="left"/>
        <w:rPr>
          <w:rFonts w:hint="eastAsia" w:ascii="宋体" w:hAnsi="宋体" w:eastAsia="宋体" w:cs="宋体"/>
          <w:b w:val="0"/>
          <w:bCs w:val="0"/>
          <w:sz w:val="24"/>
          <w:szCs w:val="24"/>
        </w:rPr>
      </w:pPr>
    </w:p>
    <w:p w14:paraId="2F3CE417">
      <w:pPr>
        <w:ind w:firstLine="480"/>
        <w:jc w:val="left"/>
        <w:rPr>
          <w:rFonts w:hint="eastAsia" w:ascii="宋体" w:hAnsi="宋体" w:eastAsia="宋体" w:cs="宋体"/>
          <w:b w:val="0"/>
          <w:bCs w:val="0"/>
          <w:sz w:val="24"/>
          <w:szCs w:val="24"/>
        </w:rPr>
      </w:pPr>
    </w:p>
    <w:p w14:paraId="2B977712">
      <w:pPr>
        <w:ind w:firstLine="480"/>
        <w:jc w:val="left"/>
        <w:rPr>
          <w:rFonts w:hint="eastAsia" w:ascii="宋体" w:hAnsi="宋体" w:eastAsia="宋体" w:cs="宋体"/>
          <w:b w:val="0"/>
          <w:bCs w:val="0"/>
          <w:sz w:val="24"/>
          <w:szCs w:val="24"/>
        </w:rPr>
      </w:pPr>
    </w:p>
    <w:p w14:paraId="7FE4CEAB">
      <w:pPr>
        <w:ind w:firstLine="480"/>
        <w:jc w:val="left"/>
        <w:rPr>
          <w:rFonts w:hint="eastAsia" w:ascii="宋体" w:hAnsi="宋体" w:eastAsia="宋体" w:cs="宋体"/>
          <w:b w:val="0"/>
          <w:bCs w:val="0"/>
          <w:sz w:val="24"/>
          <w:szCs w:val="24"/>
        </w:rPr>
      </w:pPr>
    </w:p>
    <w:p w14:paraId="5C566D2F">
      <w:pPr>
        <w:ind w:firstLine="480"/>
        <w:jc w:val="left"/>
        <w:rPr>
          <w:rFonts w:hint="eastAsia" w:ascii="宋体" w:hAnsi="宋体" w:eastAsia="宋体" w:cs="宋体"/>
          <w:b w:val="0"/>
          <w:bCs w:val="0"/>
          <w:sz w:val="24"/>
          <w:szCs w:val="24"/>
        </w:rPr>
      </w:pPr>
    </w:p>
    <w:p w14:paraId="21A2E474">
      <w:pPr>
        <w:ind w:firstLine="480"/>
        <w:jc w:val="left"/>
        <w:rPr>
          <w:rFonts w:hint="eastAsia" w:ascii="宋体" w:hAnsi="宋体" w:eastAsia="宋体" w:cs="宋体"/>
          <w:b w:val="0"/>
          <w:bCs w:val="0"/>
          <w:sz w:val="24"/>
          <w:szCs w:val="24"/>
        </w:rPr>
      </w:pPr>
    </w:p>
    <w:p w14:paraId="2FFC6793">
      <w:pPr>
        <w:ind w:firstLine="480"/>
        <w:jc w:val="left"/>
        <w:rPr>
          <w:rFonts w:hint="eastAsia" w:ascii="宋体" w:hAnsi="宋体" w:eastAsia="宋体" w:cs="宋体"/>
          <w:b w:val="0"/>
          <w:bCs w:val="0"/>
          <w:sz w:val="24"/>
          <w:szCs w:val="24"/>
        </w:rPr>
      </w:pPr>
    </w:p>
    <w:p w14:paraId="2E65616C">
      <w:pPr>
        <w:ind w:firstLine="480"/>
        <w:jc w:val="left"/>
        <w:rPr>
          <w:rFonts w:hint="eastAsia" w:ascii="宋体" w:hAnsi="宋体" w:eastAsia="宋体" w:cs="宋体"/>
          <w:b w:val="0"/>
          <w:bCs w:val="0"/>
          <w:sz w:val="24"/>
          <w:szCs w:val="24"/>
        </w:rPr>
      </w:pPr>
    </w:p>
    <w:p w14:paraId="2A31BF63">
      <w:pPr>
        <w:ind w:firstLine="480"/>
        <w:jc w:val="left"/>
        <w:rPr>
          <w:rFonts w:hint="eastAsia" w:ascii="宋体" w:hAnsi="宋体" w:eastAsia="宋体" w:cs="宋体"/>
          <w:b w:val="0"/>
          <w:bCs w:val="0"/>
          <w:sz w:val="24"/>
          <w:szCs w:val="24"/>
        </w:rPr>
      </w:pPr>
    </w:p>
    <w:p w14:paraId="4DB76A9A">
      <w:pPr>
        <w:ind w:firstLine="480"/>
        <w:jc w:val="left"/>
        <w:rPr>
          <w:rFonts w:hint="eastAsia" w:ascii="宋体" w:hAnsi="宋体" w:eastAsia="宋体" w:cs="宋体"/>
          <w:b w:val="0"/>
          <w:bCs w:val="0"/>
          <w:sz w:val="24"/>
          <w:szCs w:val="24"/>
        </w:rPr>
      </w:pPr>
    </w:p>
    <w:p w14:paraId="2EC498BA">
      <w:pPr>
        <w:ind w:firstLine="480"/>
        <w:jc w:val="left"/>
        <w:rPr>
          <w:rFonts w:hint="eastAsia" w:ascii="宋体" w:hAnsi="宋体" w:eastAsia="宋体" w:cs="宋体"/>
          <w:b w:val="0"/>
          <w:bCs w:val="0"/>
          <w:sz w:val="24"/>
          <w:szCs w:val="24"/>
        </w:rPr>
      </w:pPr>
    </w:p>
    <w:p w14:paraId="6C50EA22">
      <w:pPr>
        <w:ind w:firstLine="480"/>
        <w:jc w:val="left"/>
        <w:rPr>
          <w:rFonts w:hint="eastAsia" w:ascii="宋体" w:hAnsi="宋体" w:eastAsia="宋体" w:cs="宋体"/>
          <w:b w:val="0"/>
          <w:bCs w:val="0"/>
          <w:sz w:val="24"/>
          <w:szCs w:val="24"/>
        </w:rPr>
      </w:pPr>
    </w:p>
    <w:p w14:paraId="68C8EF99">
      <w:pPr>
        <w:ind w:firstLine="480"/>
        <w:jc w:val="left"/>
        <w:rPr>
          <w:rFonts w:hint="eastAsia" w:ascii="宋体" w:hAnsi="宋体" w:eastAsia="宋体" w:cs="宋体"/>
          <w:b w:val="0"/>
          <w:bCs w:val="0"/>
          <w:sz w:val="24"/>
          <w:szCs w:val="24"/>
        </w:rPr>
      </w:pPr>
    </w:p>
    <w:p w14:paraId="7769A84C">
      <w:pPr>
        <w:ind w:firstLine="480"/>
        <w:jc w:val="left"/>
        <w:rPr>
          <w:rFonts w:hint="eastAsia" w:ascii="宋体" w:hAnsi="宋体" w:eastAsia="宋体" w:cs="宋体"/>
          <w:b w:val="0"/>
          <w:bCs w:val="0"/>
          <w:sz w:val="24"/>
          <w:szCs w:val="24"/>
        </w:rPr>
      </w:pPr>
    </w:p>
    <w:p w14:paraId="0FBF50B1">
      <w:pPr>
        <w:ind w:firstLine="480"/>
        <w:jc w:val="left"/>
        <w:rPr>
          <w:rFonts w:hint="eastAsia" w:ascii="宋体" w:hAnsi="宋体" w:eastAsia="宋体" w:cs="宋体"/>
          <w:b w:val="0"/>
          <w:bCs w:val="0"/>
          <w:sz w:val="24"/>
          <w:szCs w:val="24"/>
        </w:rPr>
      </w:pPr>
    </w:p>
    <w:p w14:paraId="0B0FEDA3">
      <w:pPr>
        <w:jc w:val="left"/>
        <w:rPr>
          <w:rFonts w:hint="eastAsia" w:ascii="宋体" w:hAnsi="宋体" w:eastAsia="宋体" w:cs="宋体"/>
          <w:b w:val="0"/>
          <w:bCs w:val="0"/>
          <w:sz w:val="24"/>
          <w:szCs w:val="24"/>
        </w:rPr>
      </w:pPr>
    </w:p>
    <w:p w14:paraId="60205A48">
      <w:pPr>
        <w:pStyle w:val="2"/>
        <w:bidi w:val="0"/>
        <w:rPr>
          <w:rFonts w:hint="eastAsia"/>
        </w:rPr>
      </w:pPr>
      <w:bookmarkStart w:id="1" w:name="_Toc28728"/>
      <w:r>
        <w:rPr>
          <w:rFonts w:hint="eastAsia"/>
          <w:lang w:val="en-US" w:eastAsia="zh-CN"/>
        </w:rPr>
        <w:t>二、基础设施网络密码应用</w:t>
      </w:r>
      <w:bookmarkEnd w:id="1"/>
    </w:p>
    <w:p w14:paraId="0A303889">
      <w:pPr>
        <w:pStyle w:val="3"/>
        <w:bidi w:val="0"/>
        <w:rPr>
          <w:rFonts w:hint="eastAsia" w:ascii="宋体" w:hAnsi="宋体" w:eastAsia="宋体" w:cs="宋体"/>
          <w:b w:val="0"/>
          <w:bCs w:val="0"/>
          <w:sz w:val="24"/>
          <w:szCs w:val="24"/>
        </w:rPr>
      </w:pPr>
      <w:bookmarkStart w:id="2" w:name="_Toc16979"/>
      <w:r>
        <w:rPr>
          <w:rFonts w:hint="eastAsia" w:ascii="宋体" w:hAnsi="宋体" w:eastAsia="宋体" w:cs="宋体"/>
          <w:sz w:val="24"/>
          <w:szCs w:val="24"/>
          <w:lang w:val="en-US" w:eastAsia="zh-CN"/>
        </w:rPr>
        <w:t>（一）基础信息网络密码应用</w:t>
      </w:r>
      <w:bookmarkEnd w:id="2"/>
    </w:p>
    <w:p w14:paraId="7B74A9A9">
      <w:pPr>
        <w:numPr>
          <w:ilvl w:val="0"/>
          <w:numId w:val="0"/>
        </w:numPr>
        <w:jc w:val="left"/>
        <w:rPr>
          <w:rFonts w:hint="eastAsia" w:ascii="宋体" w:hAnsi="宋体" w:eastAsia="宋体" w:cs="宋体"/>
          <w:b w:val="0"/>
          <w:bCs w:val="0"/>
          <w:sz w:val="24"/>
          <w:szCs w:val="24"/>
          <w:lang w:val="en-US" w:eastAsia="zh-CN"/>
        </w:rPr>
      </w:pPr>
    </w:p>
    <w:p w14:paraId="7EF5D95A">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《工业和信息化部等十二部门关于印发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5G规模化应用“扬帆”行动升级方案</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的通知》</w:t>
      </w:r>
    </w:p>
    <w:p w14:paraId="326576F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工信部联通信〔2024〕227号</w:t>
      </w:r>
      <w:r>
        <w:rPr>
          <w:rFonts w:hint="eastAsia" w:ascii="宋体" w:hAnsi="宋体" w:eastAsia="宋体" w:cs="宋体"/>
          <w:b w:val="0"/>
          <w:bCs w:val="0"/>
          <w:sz w:val="24"/>
          <w:szCs w:val="24"/>
          <w:lang w:val="en-US" w:eastAsia="zh-CN"/>
        </w:rPr>
        <w:t>，成文日期为</w:t>
      </w:r>
      <w:r>
        <w:rPr>
          <w:rFonts w:hint="eastAsia" w:ascii="宋体" w:hAnsi="宋体" w:eastAsia="宋体" w:cs="宋体"/>
          <w:i w:val="0"/>
          <w:iCs w:val="0"/>
          <w:caps w:val="0"/>
          <w:color w:val="333333"/>
          <w:spacing w:val="0"/>
          <w:sz w:val="24"/>
          <w:szCs w:val="24"/>
          <w:shd w:val="clear" w:fill="FFFFFF"/>
        </w:rPr>
        <w:t>2024年11月22日</w:t>
      </w:r>
    </w:p>
    <w:p w14:paraId="223583C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（五）筑牢5G应用安全防护屏障</w:t>
      </w:r>
    </w:p>
    <w:p w14:paraId="3D5BBBD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完善通信网络安全防护管理，加快新兴行业5G终端安全、网络设备安全、数据安全、密码安全等关键技术研究，推动研制具备虚拟化、智能化、自适应能力的安全产品。发挥5G应用安全创新推广中心集智攻关优势，打造5G应用安全产业核心竞争力。面向重点行业开展5G应用安全标杆锻造，提炼30项以上原子化5G应用安全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"https://www.gov.cn/zhengce/zhengceku/202411/content_6989412.htm"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https://www.gov.cn/zhengce/zhengceku/202411/content_6989412.htm</w:t>
      </w:r>
      <w:r>
        <w:rPr>
          <w:rFonts w:hint="eastAsia" w:ascii="宋体" w:hAnsi="宋体" w:eastAsia="宋体" w:cs="宋体"/>
          <w:b w:val="0"/>
          <w:bCs w:val="0"/>
          <w:sz w:val="24"/>
          <w:szCs w:val="24"/>
          <w:lang w:val="en-US" w:eastAsia="zh-CN"/>
        </w:rPr>
        <w:fldChar w:fldCharType="end"/>
      </w:r>
    </w:p>
    <w:p w14:paraId="3E2F161F">
      <w:pPr>
        <w:numPr>
          <w:ilvl w:val="0"/>
          <w:numId w:val="0"/>
        </w:numPr>
        <w:jc w:val="left"/>
        <w:rPr>
          <w:rFonts w:hint="eastAsia" w:ascii="宋体" w:hAnsi="宋体" w:eastAsia="宋体" w:cs="宋体"/>
          <w:b w:val="0"/>
          <w:bCs w:val="0"/>
          <w:sz w:val="24"/>
          <w:szCs w:val="24"/>
          <w:lang w:val="en-US" w:eastAsia="zh-CN"/>
        </w:rPr>
      </w:pPr>
    </w:p>
    <w:p w14:paraId="12ADD3A0">
      <w:pPr>
        <w:numPr>
          <w:ilvl w:val="0"/>
          <w:numId w:val="0"/>
        </w:numPr>
        <w:jc w:val="left"/>
        <w:rPr>
          <w:rFonts w:hint="eastAsia" w:ascii="宋体" w:hAnsi="宋体" w:eastAsia="宋体" w:cs="宋体"/>
          <w:b w:val="0"/>
          <w:bCs w:val="0"/>
          <w:sz w:val="24"/>
          <w:szCs w:val="24"/>
          <w:lang w:val="en-US" w:eastAsia="zh-CN"/>
        </w:rPr>
      </w:pPr>
    </w:p>
    <w:p w14:paraId="7DCE990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《工业和信息化部关于印发“十四五”信息通信行业发展规划的通知》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工信部规〔2021〕164号，成文日期为2021年11月1日</w:t>
      </w:r>
    </w:p>
    <w:p w14:paraId="556BCF3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·健全行业网络安全审查体系，推进网络关键设备安全检测认证，建立供应商网络安全成熟度认证等供应链风险管理制度，稳妥有序推进商用密码应用，提升网络基础设施安全保障水平。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"http://www.gov.cn/zhengce/zhengceku/2021-11/16/content_5651262.htm"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http://www.gov.cn/zhengce/zhengceku/2021-11/16/content_5651262.htm</w:t>
      </w:r>
      <w:r>
        <w:rPr>
          <w:rFonts w:hint="eastAsia" w:ascii="宋体" w:hAnsi="宋体" w:eastAsia="宋体" w:cs="宋体"/>
          <w:b w:val="0"/>
          <w:bCs w:val="0"/>
          <w:sz w:val="24"/>
          <w:szCs w:val="24"/>
          <w:lang w:val="en-US" w:eastAsia="zh-CN"/>
        </w:rPr>
        <w:fldChar w:fldCharType="end"/>
      </w:r>
    </w:p>
    <w:p w14:paraId="09CE0289">
      <w:pPr>
        <w:jc w:val="left"/>
        <w:rPr>
          <w:rFonts w:hint="eastAsia" w:ascii="宋体" w:hAnsi="宋体" w:eastAsia="宋体" w:cs="宋体"/>
          <w:b w:val="0"/>
          <w:bCs w:val="0"/>
          <w:sz w:val="24"/>
          <w:szCs w:val="24"/>
        </w:rPr>
      </w:pPr>
    </w:p>
    <w:p w14:paraId="7D383169">
      <w:pPr>
        <w:jc w:val="left"/>
        <w:rPr>
          <w:rFonts w:hint="eastAsia" w:ascii="宋体" w:hAnsi="宋体" w:eastAsia="宋体" w:cs="宋体"/>
          <w:b w:val="0"/>
          <w:bCs w:val="0"/>
          <w:sz w:val="24"/>
          <w:szCs w:val="24"/>
        </w:rPr>
      </w:pPr>
    </w:p>
    <w:p w14:paraId="75520B14">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《工业和信息化部、中央网络安全和信息化委员会办公室 、科学技术部 、生态环境部、住房和城乡建设部 、农业农村部、国家卫生健康委员会、国家能源局关于印发＜物联网新型基础设施建设三年行动计划（2021—2023年）＞的通知》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工信部联科〔2021〕130号，成文日期为2021年9月10日</w:t>
      </w:r>
    </w:p>
    <w:p w14:paraId="08F31CA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·强化安全支撑保障。加快物联网领域商用密码技术和产品的应用推广，建设面向物联网领域的密码应用检测平台，提升物联网领域商用密码安全性和应用水平。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"http://www.gov.cn/zhengce/zhengceku/2021-09/29/content_5640204.htm"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http://www.gov.cn/zhengce/zhengceku/2021-09/29/content_5640204.htm</w:t>
      </w:r>
      <w:r>
        <w:rPr>
          <w:rFonts w:hint="eastAsia" w:ascii="宋体" w:hAnsi="宋体" w:eastAsia="宋体" w:cs="宋体"/>
          <w:b w:val="0"/>
          <w:bCs w:val="0"/>
          <w:sz w:val="24"/>
          <w:szCs w:val="24"/>
          <w:lang w:val="en-US" w:eastAsia="zh-CN"/>
        </w:rPr>
        <w:fldChar w:fldCharType="end"/>
      </w:r>
    </w:p>
    <w:p w14:paraId="0060FC29">
      <w:pPr>
        <w:numPr>
          <w:ilvl w:val="0"/>
          <w:numId w:val="0"/>
        </w:numPr>
        <w:jc w:val="left"/>
        <w:rPr>
          <w:rFonts w:hint="eastAsia" w:ascii="宋体" w:hAnsi="宋体" w:eastAsia="宋体" w:cs="宋体"/>
          <w:b w:val="0"/>
          <w:bCs w:val="0"/>
          <w:sz w:val="24"/>
          <w:szCs w:val="24"/>
          <w:lang w:val="en-US" w:eastAsia="zh-CN"/>
        </w:rPr>
      </w:pPr>
    </w:p>
    <w:p w14:paraId="77A7E69E">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 中央网络安全和信息化委员会办公室 国家发展和改革委员会 教育部 财政部 住房和城乡建设部 文化和旅游部 国家卫生健康委员会 国务院国有资产监督管理委员会 国家能源局关于印发＜5G应用“扬帆”行动计划（2021-2023年）＞的通知》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工信部联通信〔2021〕77号，成文日期为2021年7月5日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·开展5G应用安全示范推广。在5G应用中推广使用商用密码，做好密码应用安全性评估。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"http://www.gov.cn/zhengce/zhengceku/2021-07/13/content_5624610.htm"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http://www.gov.cn/zhengce/zhengceku/2021-07/13/content_5624610.htm</w:t>
      </w:r>
      <w:r>
        <w:rPr>
          <w:rFonts w:hint="eastAsia" w:ascii="宋体" w:hAnsi="宋体" w:eastAsia="宋体" w:cs="宋体"/>
          <w:b w:val="0"/>
          <w:bCs w:val="0"/>
          <w:sz w:val="24"/>
          <w:szCs w:val="24"/>
          <w:lang w:val="en-US" w:eastAsia="zh-CN"/>
        </w:rPr>
        <w:fldChar w:fldCharType="end"/>
      </w:r>
    </w:p>
    <w:p w14:paraId="04F9B6C4">
      <w:pPr>
        <w:pStyle w:val="3"/>
        <w:bidi w:val="0"/>
        <w:rPr>
          <w:rFonts w:hint="eastAsia" w:ascii="宋体" w:hAnsi="宋体" w:eastAsia="宋体" w:cs="宋体"/>
          <w:sz w:val="24"/>
          <w:szCs w:val="24"/>
          <w:lang w:val="en-US" w:eastAsia="zh-CN"/>
        </w:rPr>
      </w:pPr>
      <w:bookmarkStart w:id="3" w:name="_Toc412"/>
      <w:r>
        <w:rPr>
          <w:rFonts w:hint="eastAsia" w:ascii="宋体" w:hAnsi="宋体" w:eastAsia="宋体" w:cs="宋体"/>
          <w:sz w:val="24"/>
          <w:szCs w:val="24"/>
          <w:lang w:val="en-US" w:eastAsia="zh-CN"/>
        </w:rPr>
        <w:t>（二）交通运输网络密码应用</w:t>
      </w:r>
      <w:bookmarkEnd w:id="3"/>
    </w:p>
    <w:p w14:paraId="159A7042">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铁路关键信息基础设施安全保护管理办法</w:t>
      </w:r>
      <w:r>
        <w:rPr>
          <w:rFonts w:hint="eastAsia" w:ascii="宋体" w:hAnsi="宋体" w:eastAsia="宋体" w:cs="宋体"/>
          <w:b w:val="0"/>
          <w:bCs w:val="0"/>
          <w:sz w:val="24"/>
          <w:szCs w:val="24"/>
          <w:lang w:eastAsia="zh-CN"/>
        </w:rPr>
        <w:t>》</w:t>
      </w:r>
    </w:p>
    <w:p w14:paraId="3CD94EC9">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中华人民共和国交通运输部令2023年第20号</w:t>
      </w:r>
      <w:r>
        <w:rPr>
          <w:rFonts w:hint="eastAsia" w:ascii="宋体" w:hAnsi="宋体" w:eastAsia="宋体" w:cs="宋体"/>
          <w:b w:val="0"/>
          <w:bCs w:val="0"/>
          <w:sz w:val="24"/>
          <w:szCs w:val="24"/>
          <w:lang w:eastAsia="zh-CN"/>
        </w:rPr>
        <w:t>，自2024年2月1日起施行</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　　第十七条  法律、行政法规和国家有关规定要求使用商用密码进行保护的铁路关键信息基础设施，运营者应当使用商用密码进行保护，自行或者委托商用密码检测机构每年至少开展一次商用密码应用安全性评估。</w:t>
      </w:r>
    </w:p>
    <w:p w14:paraId="2A6E3BD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商用密码应用安全性评估应当与铁路关键信息基础设施安全检测和风险评估、网络安全等级测评制度相衔接，避免重复评估、测评。</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"https://xxgk.mot.gov.cn/2020/jigou/fgs/202401/t20240104_3980678.html" </w:instrText>
      </w:r>
      <w:r>
        <w:rPr>
          <w:rFonts w:hint="eastAsia" w:ascii="宋体" w:hAnsi="宋体" w:eastAsia="宋体" w:cs="宋体"/>
          <w:b w:val="0"/>
          <w:bCs w:val="0"/>
          <w:sz w:val="24"/>
          <w:szCs w:val="24"/>
        </w:rPr>
        <w:fldChar w:fldCharType="separate"/>
      </w:r>
      <w:r>
        <w:rPr>
          <w:rStyle w:val="16"/>
          <w:rFonts w:hint="eastAsia" w:ascii="宋体" w:hAnsi="宋体" w:eastAsia="宋体" w:cs="宋体"/>
          <w:b w:val="0"/>
          <w:bCs w:val="0"/>
          <w:sz w:val="24"/>
          <w:szCs w:val="24"/>
        </w:rPr>
        <w:t>https://xxgk.mot.gov.cn/2020/jigou/fgs/202401/t20240104_3980678.html</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公路水路关键信息基础设施安全保护管理办法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中华人民共和国交通运输部令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2023年第4号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，2023年6月1日起施行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第十八条　法律、行政法规和国家有关规定要求使用商用密码进行保护的公路水路关键信息基础设施，其运营者应当使用商用密码进行保护，自行或者委托商用密码检测机构每年至少开展一次商用密码应用安全性评估。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"https://www.gov.cn/gongbao/2023/issue_10566/202307/content_6890791.html"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https://www.gov.cn/gongbao/2023/issue_10566/202307/content_6890791.html</w:t>
      </w:r>
      <w:r>
        <w:rPr>
          <w:rFonts w:hint="eastAsia" w:ascii="宋体" w:hAnsi="宋体" w:eastAsia="宋体" w:cs="宋体"/>
          <w:b w:val="0"/>
          <w:bCs w:val="0"/>
          <w:sz w:val="24"/>
          <w:szCs w:val="24"/>
          <w:lang w:val="en-US" w:eastAsia="zh-CN"/>
        </w:rPr>
        <w:fldChar w:fldCharType="end"/>
      </w:r>
    </w:p>
    <w:p w14:paraId="7798D0BA">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p>
    <w:p w14:paraId="151AD415">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《交通运输部 国家铁路局 中国民用航空局 国家邮政局 中国国家铁路集团有限公司关于印发＜加快建设交通强国五年行动计划（2023-2027年）＞的通知》</w:t>
      </w:r>
    </w:p>
    <w:p w14:paraId="63CD03D9">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交规划发〔2023〕21号，发文日期为2023年3月29日</w:t>
      </w:r>
    </w:p>
    <w:p w14:paraId="243DD9F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　　·开展网络和数据安全能力提升行动。组织实施网络安全实网攻防演练，加强商用密码应用推广。</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交通运输部办公厅关于印发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道路运输电子证照运行服务规范（试行）</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14:paraId="0E32A5AC">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交办运函〔2022〕1606号</w:t>
      </w:r>
      <w:r>
        <w:rPr>
          <w:rFonts w:hint="eastAsia" w:ascii="宋体" w:hAnsi="宋体" w:eastAsia="宋体" w:cs="宋体"/>
          <w:b w:val="0"/>
          <w:bCs w:val="0"/>
          <w:sz w:val="24"/>
          <w:szCs w:val="24"/>
          <w:lang w:val="en-US" w:eastAsia="zh-CN"/>
        </w:rPr>
        <w:t>，成文日期为2022年11月21日</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　　</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省级交通运输主管部门应加强电子证照的数据安全保护，严防非法授权访问、非法数据出库等行为，防止数据泄露，保障数据安全。加强国产密码应用和安全性评估。</w:t>
      </w:r>
    </w:p>
    <w:p w14:paraId="2B026A7D">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"https://xxgk.mot.gov.cn/2020/jigou/ysfws/202211/t20221121_3712703.html" </w:instrText>
      </w:r>
      <w:r>
        <w:rPr>
          <w:rFonts w:hint="eastAsia" w:ascii="宋体" w:hAnsi="宋体" w:eastAsia="宋体" w:cs="宋体"/>
          <w:b w:val="0"/>
          <w:bCs w:val="0"/>
          <w:sz w:val="24"/>
          <w:szCs w:val="24"/>
        </w:rPr>
        <w:fldChar w:fldCharType="separate"/>
      </w:r>
      <w:r>
        <w:rPr>
          <w:rStyle w:val="16"/>
          <w:rFonts w:hint="eastAsia" w:ascii="宋体" w:hAnsi="宋体" w:eastAsia="宋体" w:cs="宋体"/>
          <w:b w:val="0"/>
          <w:bCs w:val="0"/>
          <w:sz w:val="24"/>
          <w:szCs w:val="24"/>
        </w:rPr>
        <w:t>https://xxgk.mot.gov.cn/2020/jigou/ysfws/202211/t20221121_3712703.html</w:t>
      </w:r>
      <w:r>
        <w:rPr>
          <w:rFonts w:hint="eastAsia" w:ascii="宋体" w:hAnsi="宋体" w:eastAsia="宋体" w:cs="宋体"/>
          <w:b w:val="0"/>
          <w:bCs w:val="0"/>
          <w:sz w:val="24"/>
          <w:szCs w:val="24"/>
        </w:rPr>
        <w:fldChar w:fldCharType="end"/>
      </w:r>
    </w:p>
    <w:p w14:paraId="3C43F7A5">
      <w:pPr>
        <w:numPr>
          <w:ilvl w:val="0"/>
          <w:numId w:val="0"/>
        </w:numPr>
        <w:jc w:val="left"/>
        <w:rPr>
          <w:rFonts w:hint="eastAsia" w:ascii="宋体" w:hAnsi="宋体" w:eastAsia="宋体" w:cs="宋体"/>
          <w:b w:val="0"/>
          <w:bCs w:val="0"/>
          <w:sz w:val="24"/>
          <w:szCs w:val="24"/>
        </w:rPr>
      </w:pPr>
    </w:p>
    <w:p w14:paraId="54E8067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《工业和信息化部办公厅关于印发车联网网络安全和数据安全标准体系建设指南的通知》</w:t>
      </w:r>
    </w:p>
    <w:p w14:paraId="4429BF2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工信厅科〔2022〕5号，成文日期为2022年2月25日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总体与基础共性标准是车联网网络安全和数据安全的总体性、通用性和指导性标准，包括术语和定义、总体架构、密码应用等3类标准。其中，密码应用标准主要规范车联网密码应用通用要求，明确数字证书格式、数字证书应用、设备密码应用等要求。</w:t>
      </w:r>
    </w:p>
    <w:p w14:paraId="6399624C">
      <w:pPr>
        <w:numPr>
          <w:ilvl w:val="0"/>
          <w:numId w:val="0"/>
        </w:numPr>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"https://www.miit.gov.cn/zwgk/zcwj/wjfb/tz/art/2022/art_e36a55c43a3346c9a4b31e534b92be44.html"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https://www.miit.gov.cn/zwgk/zcwj/wjfb/tz/art/2022/art_e36a55c43a3346c9a4b31e534b92be44.html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p>
    <w:p w14:paraId="2AD5C3DE">
      <w:pPr>
        <w:numPr>
          <w:ilvl w:val="0"/>
          <w:numId w:val="0"/>
        </w:numPr>
        <w:jc w:val="left"/>
        <w:rPr>
          <w:rFonts w:hint="eastAsia" w:ascii="宋体" w:hAnsi="宋体" w:eastAsia="宋体" w:cs="宋体"/>
          <w:b w:val="0"/>
          <w:bCs w:val="0"/>
          <w:sz w:val="24"/>
          <w:szCs w:val="24"/>
          <w:shd w:val="clear" w:color="FFFFFF" w:fill="D9D9D9"/>
          <w:lang w:val="en-US" w:eastAsia="zh-CN"/>
        </w:rPr>
      </w:pPr>
    </w:p>
    <w:p w14:paraId="6E963D48">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《交通运输部 科学技术部关于印发〈交通领域科技创新中长期发展规划纲要（2021—2035年）〉的通知》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交科技发〔2022〕11号，成文日期为2022年1月24日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围绕全面提升智慧交通发展水平，集中攻克交通运输专业软件和专用系统，加快移动互联网、人工智能、区块链、云计算、大数据等新一代信息技术及空天信息技术与交通运输融合创新应用，推动交通运输领域商用密码创新应用，加快发展交通运输新型基础设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"http://www.gov.cn/zhengce/zhengceku/2022-04/06/content_5683595.htm"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http://www.gov.cn/zhengce/zhengceku/2022-04/06/content_5683595.htm</w:t>
      </w:r>
      <w:r>
        <w:rPr>
          <w:rFonts w:hint="eastAsia" w:ascii="宋体" w:hAnsi="宋体" w:eastAsia="宋体" w:cs="宋体"/>
          <w:b w:val="0"/>
          <w:bCs w:val="0"/>
          <w:sz w:val="24"/>
          <w:szCs w:val="24"/>
          <w:lang w:val="en-US" w:eastAsia="zh-CN"/>
        </w:rPr>
        <w:fldChar w:fldCharType="end"/>
      </w:r>
    </w:p>
    <w:p w14:paraId="74E96934">
      <w:pPr>
        <w:numPr>
          <w:ilvl w:val="0"/>
          <w:numId w:val="0"/>
        </w:numPr>
        <w:jc w:val="both"/>
        <w:rPr>
          <w:rFonts w:hint="eastAsia" w:ascii="宋体" w:hAnsi="宋体" w:eastAsia="宋体" w:cs="宋体"/>
          <w:b w:val="0"/>
          <w:bCs w:val="0"/>
          <w:sz w:val="24"/>
          <w:szCs w:val="24"/>
          <w:lang w:val="en-US" w:eastAsia="zh-CN"/>
        </w:rPr>
      </w:pPr>
    </w:p>
    <w:p w14:paraId="0B26E648">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《工业和信息化部关于大众消费领域北斗推广应用的若干意见》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工信部电子〔2022〕5号，成文日期为2022年1月17日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·加快推进高精度、低功耗、低成本、小型化的北斗芯片及关键元器件研发和产业化，形成北斗与5G、物联网、车联网等新一代信息技术融合的系统解决方案。鼓励应用商用密码，保障产品安全。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"http://www.gov.cn/zhengce/zhengceku/2022-01/29/content_5671098.htm"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http://www.gov.cn/zhengce/zhengceku/2022-01/29/content_5671098.htm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162D6112">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国家邮政局、国家发展和改革委员会、交通运输部联合印发《“十四五”邮政业发展规划》</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发布日期为2021年12月28日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加强网络数据安全。严格落实网络安全工作责任制，完善行业网络安全、数据安全有关标准规范。在网络建设和运营过程中，同步规划、建设、使用有关安全保护措施，严格落实国家关于等保、关保、密评等有关要求。加强行业关键信息基础设施保护,组织编制相关规划，强化行业指导和监督。加强行业重要数据和个人信息保护。</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"https://www.spb.gov.cn/gjyzj/c100009/c100012/202201/f7f90da54b10432bb5cff518b4c7ebae.shtml" </w:instrText>
      </w:r>
      <w:r>
        <w:rPr>
          <w:rFonts w:hint="eastAsia" w:ascii="宋体" w:hAnsi="宋体" w:eastAsia="宋体" w:cs="宋体"/>
          <w:b w:val="0"/>
          <w:bCs w:val="0"/>
          <w:kern w:val="2"/>
          <w:sz w:val="24"/>
          <w:szCs w:val="24"/>
          <w:lang w:val="en-US" w:eastAsia="zh-CN" w:bidi="ar-SA"/>
        </w:rPr>
        <w:fldChar w:fldCharType="separate"/>
      </w:r>
      <w:r>
        <w:rPr>
          <w:rStyle w:val="15"/>
          <w:rFonts w:hint="eastAsia" w:ascii="宋体" w:hAnsi="宋体" w:eastAsia="宋体" w:cs="宋体"/>
          <w:b w:val="0"/>
          <w:bCs w:val="0"/>
          <w:kern w:val="2"/>
          <w:sz w:val="24"/>
          <w:szCs w:val="24"/>
          <w:lang w:val="en-US" w:eastAsia="zh-CN" w:bidi="ar-SA"/>
        </w:rPr>
        <w:t>https://www.spb.gov.cn/gjyzj/c100009/c100012/202201/f7f90da54b10432bb5cff518b4c7ebae.shtml</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《交通运输部关于印发＜数字交通“十四五”发展规划＞的通知》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交规划发〔2021〕102号，成文日期为2021年12月22日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·健全国家综合交通运输信息平台基础支撑和网络安全防护体系，加强关键信息基础设施保护和商用密码技术应用。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推动安全可信服务和产品应用。完善行业网络身份认证和设备安全接入认证体系，加强商用密码技术应用、接入检测、监督检查等。强化网络安全产品供应链管理。推进重要信息系统密码技术应用，完善行业密码服务基础设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"https://xxgk.mot.gov.cn/2020/jigou/zhghs/202112/t20211222_3632469.html"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https://xxgk.mot.gov.cn/2020/jigou/zhghs/202112/t20211222_3632469.html</w:t>
      </w:r>
      <w:r>
        <w:rPr>
          <w:rFonts w:hint="eastAsia" w:ascii="宋体" w:hAnsi="宋体" w:eastAsia="宋体" w:cs="宋体"/>
          <w:b w:val="0"/>
          <w:bCs w:val="0"/>
          <w:sz w:val="24"/>
          <w:szCs w:val="24"/>
          <w:lang w:val="en-US" w:eastAsia="zh-CN"/>
        </w:rPr>
        <w:fldChar w:fldCharType="end"/>
      </w:r>
    </w:p>
    <w:p w14:paraId="2C62F627">
      <w:pPr>
        <w:numPr>
          <w:ilvl w:val="0"/>
          <w:numId w:val="0"/>
        </w:numPr>
        <w:jc w:val="left"/>
        <w:rPr>
          <w:rFonts w:hint="eastAsia" w:ascii="宋体" w:hAnsi="宋体" w:eastAsia="宋体" w:cs="宋体"/>
          <w:b w:val="0"/>
          <w:bCs w:val="0"/>
          <w:sz w:val="24"/>
          <w:szCs w:val="24"/>
          <w:lang w:val="en-US" w:eastAsia="zh-CN"/>
        </w:rPr>
      </w:pPr>
    </w:p>
    <w:p w14:paraId="5F8DB16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《工业和信息化部关于加强车联网网络安全和数据安全工作的通知》</w:t>
      </w:r>
    </w:p>
    <w:p w14:paraId="048A250C">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工信部网安〔2021〕134号，成文日期为2021年9月15日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·认定为关键信息基础设施的，要落实《关键信息基础设施安全保护条例》有关规定，并按照国家有关标准使用商用密码进行保护，自行或者委托商用密码检测机构开展商用密码应用安全性评估。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"http://www.gov.cn/zhengce/zhengceku/2021-09/16/content_5637709.htm"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http://www.gov.cn/zhengce/zhengceku/2021-09/16/content_5637709.htm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《交通运输部关于印发＜交通运输领域新型基础设施建设行动方案（2021—2025年）＞的通知》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交规划发〔2021〕82号，成文日期为2021年8月31日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网络安全保护。严格落实等级保护制度，加强关键信息基础设施保护，强化态势感知能力建设，保障数据共享安全可控。建立健全数据安全保护制度，加强基础设施数据全生命周期管理和分级分类保护，落实数据容灾备份措施。推进商用密码技术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"http://www.gov.cn/zhengce/zhengceku/2021-09/29/content_5639987.htm"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http://www.gov.cn/zhengce/zhengceku/2021-09/29/content_5639987.htm</w:t>
      </w:r>
      <w:r>
        <w:rPr>
          <w:rFonts w:hint="eastAsia" w:ascii="宋体" w:hAnsi="宋体" w:eastAsia="宋体" w:cs="宋体"/>
          <w:b w:val="0"/>
          <w:bCs w:val="0"/>
          <w:sz w:val="24"/>
          <w:szCs w:val="24"/>
          <w:lang w:val="en-US" w:eastAsia="zh-CN"/>
        </w:rPr>
        <w:fldChar w:fldCharType="end"/>
      </w:r>
    </w:p>
    <w:p w14:paraId="6C018F11">
      <w:pPr>
        <w:numPr>
          <w:ilvl w:val="0"/>
          <w:numId w:val="0"/>
        </w:numPr>
        <w:jc w:val="left"/>
        <w:rPr>
          <w:rFonts w:hint="eastAsia" w:ascii="宋体" w:hAnsi="宋体" w:eastAsia="宋体" w:cs="宋体"/>
          <w:b w:val="0"/>
          <w:bCs w:val="0"/>
          <w:sz w:val="24"/>
          <w:szCs w:val="24"/>
          <w:lang w:val="en-US" w:eastAsia="zh-CN"/>
        </w:rPr>
      </w:pPr>
    </w:p>
    <w:p w14:paraId="40DC30D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《工业和信息化部办公厅关于开展车联网身份认证和安全信任试点工作的通知》</w:t>
      </w:r>
    </w:p>
    <w:p w14:paraId="6C915A2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工信厅网安函〔2021〕148号，成文日期为2021年6月8日</w:t>
      </w:r>
    </w:p>
    <w:p w14:paraId="623D8603">
      <w:pPr>
        <w:numPr>
          <w:ilvl w:val="0"/>
          <w:numId w:val="0"/>
        </w:numPr>
        <w:ind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贯彻落实《新能源汽车产业发展规划（2021-2035年）》《智能汽车创新发展战略》和车联网产业发展专委会第四次全体会议工作任务要求，加快推进车联网网络安全保障能力建设，构建车联网身份认证和安全信任体系，推动商用密码应用，保障蜂窝车联网（C-V2X）通信安全，现开展车联网身份认证和安全信任试点工作。</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"https://www.gov.cn/zhengce/zhengceku/2021-06/10/content_5616843.htm"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https://www.gov.cn/zhengce/zhengceku/2021-06/10/content_5616843.htm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《交通运输部办公厅关于印发＜城市轨道交通自动售检票系统运营技术规范（试行）＞的通知》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交办运〔2022〕27号，成文日期为2021年5月27日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自动售检票系统的应用软件具有应用软件操作权限管理功能，操作员账户和密码采用加密形式存储，并满足日常定期修改密码要求，支持对轨道交通专用票、二维码车票密钥的统一管理，主要包括密钥制作、密钥下发、数据验签和第三方密钥管理。轨道交通专用票、二维码车票、一卡通卡等密钥的使用和管理符合国家网络安全及商用密码管理的相关法律法规和标准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·自动售检票系统的数据安全管理应具有灾难备份及数据恢复功能，所有敏感数据在存储和传输时采用高安全加密方式。</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·互联网票务的密钥使用和管理应符合国家网络安全及商用密码管理的相关法律法规，并保证支付安全。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"https://xxgk.mot.gov.cn/2020/jigou/ysfws/202206/t20220609_3658774.html"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https://xxgk.mot.gov.cn/2020/jigou/ysfws/202206/t20220609_3658774.html</w:t>
      </w:r>
      <w:r>
        <w:rPr>
          <w:rFonts w:hint="eastAsia" w:ascii="宋体" w:hAnsi="宋体" w:eastAsia="宋体" w:cs="宋体"/>
          <w:b w:val="0"/>
          <w:bCs w:val="0"/>
          <w:sz w:val="24"/>
          <w:szCs w:val="24"/>
          <w:lang w:val="en-US" w:eastAsia="zh-CN"/>
        </w:rPr>
        <w:fldChar w:fldCharType="end"/>
      </w:r>
    </w:p>
    <w:p w14:paraId="68424EE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《交通运输部办公厅关于加快推广应用道路运输电子证照提升数字化服务与监管能力的通知》</w:t>
      </w:r>
    </w:p>
    <w:p w14:paraId="6F21EC5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交办运〔2021〕25号，成文日期为2021年3月16日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统一开发电子证照系统。根据相关标准规范要求，采用国产密码算法技术，建设开发部级电子证照系统，同时推进与部级运政系统、网上便民运政系统、部移动客户端和微信公众号、国家政务服务平台等相关信息系统的对接工作。统一开发省级电子证照系统基础软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"http://www.gov.cn/zhengce/zhengceku/2021-04/02/content_5597486.htm"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http://www.gov.cn/zhengce/zhengceku/2021-04/02/content_5597486.htm</w:t>
      </w:r>
      <w:r>
        <w:rPr>
          <w:rFonts w:hint="eastAsia" w:ascii="宋体" w:hAnsi="宋体" w:eastAsia="宋体" w:cs="宋体"/>
          <w:b w:val="0"/>
          <w:bCs w:val="0"/>
          <w:sz w:val="24"/>
          <w:szCs w:val="24"/>
          <w:lang w:val="en-US" w:eastAsia="zh-CN"/>
        </w:rPr>
        <w:fldChar w:fldCharType="end"/>
      </w:r>
    </w:p>
    <w:p w14:paraId="1407F835">
      <w:pPr>
        <w:numPr>
          <w:ilvl w:val="0"/>
          <w:numId w:val="0"/>
        </w:numPr>
        <w:jc w:val="left"/>
        <w:rPr>
          <w:rFonts w:hint="eastAsia" w:ascii="宋体" w:hAnsi="宋体" w:eastAsia="宋体" w:cs="宋体"/>
          <w:b w:val="0"/>
          <w:bCs w:val="0"/>
          <w:sz w:val="24"/>
          <w:szCs w:val="24"/>
          <w:lang w:val="en-US" w:eastAsia="zh-CN"/>
        </w:rPr>
      </w:pPr>
    </w:p>
    <w:p w14:paraId="29DAAEA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《交通运输部关于推动交通运输领域新型基础设施建设的指导意见》</w:t>
      </w:r>
    </w:p>
    <w:p w14:paraId="7566226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交规划发〔2020〕75号，成文日期为2020年8月3日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关键信息基础设施保护。建设集态势感知、风险预警、应急处置和联动指挥为一体的网络安全支撑平台，加强信息共享、协同联动，形成多层级的纵深防御、主动防护、综合防范体系，加强威胁风险预警研判，建立风险评估体系。切实推进商用密码等技术应用，积极推广可信计算，提高系统主动免疫能力。</w:t>
      </w:r>
    </w:p>
    <w:p w14:paraId="18A5FBE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"http://www.gov.cn/zhengce/zhengceku/2020-08/06/content_5532842.htm"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http://www.gov.cn/zhengce/zhengceku/2020-08/06/content_5532842.htm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7BE80A5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《交通运输部办公厅关于充分发挥全国道路货运车辆公共监管与服务平台作用支撑行业高质量发展的意见》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交办运〔2020〕18号，成文日期为2020年4月26日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网络安全管理。货运平台建设运维单位要根据《中华人民共和国网络安全法》《中华人民共和国计算机信息系统安全保护条例》等有关法律规定，做好网络运行安全和网络信息安全工作，完善安全等保三级系统的网络安全保护体系，建立健全网络安全防范、监测、通报、响应和处置机制。同时，运用自主可控密码技术，实现数据及传输安全管理。各级交通运输主管部门应严格管理数据应用，有效保证信息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"https://xxgk.mot.gov.cn/2020/jigou/ysfws/202006/t20200623_3316089.html"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https://xxgk.mot.gov.cn/2020/jigou/ysfws/202006/t20200623_3316089.html</w:t>
      </w:r>
      <w:r>
        <w:rPr>
          <w:rFonts w:hint="eastAsia" w:ascii="宋体" w:hAnsi="宋体" w:eastAsia="宋体" w:cs="宋体"/>
          <w:b w:val="0"/>
          <w:bCs w:val="0"/>
          <w:sz w:val="24"/>
          <w:szCs w:val="24"/>
          <w:lang w:val="en-US" w:eastAsia="zh-CN"/>
        </w:rPr>
        <w:fldChar w:fldCharType="end"/>
      </w:r>
    </w:p>
    <w:p w14:paraId="69967A54">
      <w:pPr>
        <w:numPr>
          <w:ilvl w:val="0"/>
          <w:numId w:val="0"/>
        </w:numPr>
        <w:jc w:val="left"/>
        <w:rPr>
          <w:rFonts w:hint="eastAsia" w:ascii="宋体" w:hAnsi="宋体" w:eastAsia="宋体" w:cs="宋体"/>
          <w:b w:val="0"/>
          <w:bCs w:val="0"/>
          <w:sz w:val="24"/>
          <w:szCs w:val="24"/>
          <w:lang w:val="en-US" w:eastAsia="zh-CN"/>
        </w:rPr>
      </w:pPr>
    </w:p>
    <w:p w14:paraId="3F8038CC">
      <w:pPr>
        <w:numPr>
          <w:ilvl w:val="0"/>
          <w:numId w:val="0"/>
        </w:numPr>
        <w:jc w:val="left"/>
        <w:rPr>
          <w:rFonts w:hint="eastAsia" w:ascii="宋体" w:hAnsi="宋体" w:eastAsia="宋体" w:cs="宋体"/>
          <w:b w:val="0"/>
          <w:bCs w:val="0"/>
          <w:sz w:val="24"/>
          <w:szCs w:val="24"/>
          <w:lang w:val="en-US" w:eastAsia="zh-CN"/>
        </w:rPr>
      </w:pPr>
    </w:p>
    <w:p w14:paraId="5801C03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《交通运输部关于印发＜推进综合交通运输大数据发展行动纲要（2020—2025年）＞的通知》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交科技发〔2019〕161号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成文日期为2019年12月9日</w:t>
      </w:r>
    </w:p>
    <w:p w14:paraId="0FEF308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·完善数据安全保障措施。推进交通运输领域数据分类分级管理，加强重要数据和个人信息安全保护，制定数据分级安全管理、数据脱敏等制度规范。推进重要信息系统密码技术应用和重要软硬件设备自主可控。</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"https://www.mot.gov.cn/zhengcejiedu/ytddxsqtdzhjtysdsjfz/xiangguanzhengce/201912/t20191213_3430331.html"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https://www.mot.gov.cn/zhengcejiedu/ytddxsqtdzhjtysdsjfz/xiangguanzhengce/201912/t20191213_3430331.html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rPr>
        <w:br w:type="textWrapping"/>
      </w:r>
      <w:bookmarkStart w:id="4" w:name="_Toc803"/>
      <w:r>
        <w:rPr>
          <w:rStyle w:val="18"/>
          <w:rFonts w:hint="eastAsia" w:ascii="宋体" w:hAnsi="宋体" w:eastAsia="宋体" w:cs="宋体"/>
          <w:sz w:val="24"/>
          <w:szCs w:val="24"/>
          <w:lang w:val="en-US" w:eastAsia="zh-CN"/>
        </w:rPr>
        <w:t>（三）能源基础设施网络密码应用</w:t>
      </w:r>
      <w:bookmarkEnd w:id="4"/>
    </w:p>
    <w:p w14:paraId="5DBC6B39">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 xml:space="preserve"> </w:t>
      </w:r>
    </w:p>
    <w:p w14:paraId="380BA147">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《电力监控系统安全防护规定》</w:t>
      </w:r>
    </w:p>
    <w:p w14:paraId="76A23A97">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中华人民共和国国家发展和改革委员会令第27号，自2025年1月1日起施行</w:t>
      </w:r>
    </w:p>
    <w:p w14:paraId="04CA45A9">
      <w:pPr>
        <w:numPr>
          <w:ilvl w:val="0"/>
          <w:numId w:val="0"/>
        </w:numPr>
        <w:jc w:val="left"/>
        <w:rPr>
          <w:rFonts w:hint="eastAsia" w:ascii="宋体" w:hAnsi="宋体" w:eastAsia="宋体" w:cs="宋体"/>
          <w:b w:val="0"/>
          <w:bCs w:val="0"/>
          <w:sz w:val="24"/>
          <w:szCs w:val="24"/>
        </w:rPr>
      </w:pPr>
      <w:r>
        <w:rPr>
          <w:rFonts w:hint="eastAsia" w:ascii="宋体" w:hAnsi="宋体" w:eastAsia="宋体" w:cs="宋体"/>
          <w:b/>
          <w:bCs/>
          <w:sz w:val="24"/>
          <w:szCs w:val="24"/>
          <w:lang w:eastAsia="zh-CN"/>
        </w:rPr>
        <w:t>　　</w:t>
      </w:r>
      <w:r>
        <w:rPr>
          <w:rFonts w:hint="eastAsia" w:ascii="宋体" w:hAnsi="宋体" w:eastAsia="宋体" w:cs="宋体"/>
          <w:b/>
          <w:bCs/>
          <w:sz w:val="24"/>
          <w:szCs w:val="24"/>
        </w:rPr>
        <w:t>第十一条</w:t>
      </w:r>
      <w:r>
        <w:rPr>
          <w:rFonts w:hint="eastAsia" w:ascii="宋体" w:hAnsi="宋体" w:eastAsia="宋体" w:cs="宋体"/>
          <w:b w:val="0"/>
          <w:bCs w:val="0"/>
          <w:sz w:val="24"/>
          <w:szCs w:val="24"/>
        </w:rPr>
        <w:t xml:space="preserve"> 生产控制区与电力监控专用网络的广域网之间的联接处应当设置电力专用纵向加密认证装置或者加密认证网关。</w:t>
      </w:r>
    </w:p>
    <w:p w14:paraId="573FAE2C">
      <w:pPr>
        <w:numPr>
          <w:ilvl w:val="0"/>
          <w:numId w:val="0"/>
        </w:numPr>
        <w:jc w:val="left"/>
        <w:rPr>
          <w:rFonts w:hint="eastAsia" w:ascii="宋体" w:hAnsi="宋体" w:eastAsia="宋体" w:cs="宋体"/>
          <w:b w:val="0"/>
          <w:bCs w:val="0"/>
          <w:sz w:val="24"/>
          <w:szCs w:val="24"/>
        </w:rPr>
      </w:pPr>
      <w:r>
        <w:rPr>
          <w:rFonts w:hint="eastAsia" w:ascii="宋体" w:hAnsi="宋体" w:eastAsia="宋体" w:cs="宋体"/>
          <w:b/>
          <w:bCs/>
          <w:sz w:val="24"/>
          <w:szCs w:val="24"/>
          <w:lang w:eastAsia="zh-CN"/>
        </w:rPr>
        <w:t>　　</w:t>
      </w:r>
      <w:r>
        <w:rPr>
          <w:rFonts w:hint="eastAsia" w:ascii="宋体" w:hAnsi="宋体" w:eastAsia="宋体" w:cs="宋体"/>
          <w:b/>
          <w:bCs/>
          <w:sz w:val="24"/>
          <w:szCs w:val="24"/>
        </w:rPr>
        <w:t>第十二条</w:t>
      </w:r>
      <w:r>
        <w:rPr>
          <w:rFonts w:hint="eastAsia" w:ascii="宋体" w:hAnsi="宋体" w:eastAsia="宋体" w:cs="宋体"/>
          <w:b w:val="0"/>
          <w:bCs w:val="0"/>
          <w:sz w:val="24"/>
          <w:szCs w:val="24"/>
        </w:rPr>
        <w:t xml:space="preserve"> 电力调度机构应当依照电力调度管理体制建立基于数字证书等技术的分布式电力调度认证机制。生产控制区处理重要业务过程中应当采用应用层端到端加密认证机制，其中与电力调度机构交互业务数据应当纳入电力调度认证机制，保障数据传输的完整性和真实性。</w:t>
      </w:r>
    </w:p>
    <w:p w14:paraId="128E5499">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"https://www.ndrc.gov.cn/xxgk/zcfb/fzggwl/202412/t20241211_1394960_ext.html" </w:instrText>
      </w:r>
      <w:r>
        <w:rPr>
          <w:rFonts w:hint="eastAsia" w:ascii="宋体" w:hAnsi="宋体" w:eastAsia="宋体" w:cs="宋体"/>
          <w:b w:val="0"/>
          <w:bCs w:val="0"/>
          <w:sz w:val="24"/>
          <w:szCs w:val="24"/>
        </w:rPr>
        <w:fldChar w:fldCharType="separate"/>
      </w:r>
      <w:r>
        <w:rPr>
          <w:rStyle w:val="16"/>
          <w:rFonts w:hint="eastAsia" w:ascii="宋体" w:hAnsi="宋体" w:eastAsia="宋体" w:cs="宋体"/>
          <w:b w:val="0"/>
          <w:bCs w:val="0"/>
          <w:sz w:val="24"/>
          <w:szCs w:val="24"/>
        </w:rPr>
        <w:t>https://www.ndrc.gov.cn/xxgk/zcfb/fzggwl/202412/t20241211_1394960_ext.html</w:t>
      </w:r>
      <w:r>
        <w:rPr>
          <w:rFonts w:hint="eastAsia" w:ascii="宋体" w:hAnsi="宋体" w:eastAsia="宋体" w:cs="宋体"/>
          <w:b w:val="0"/>
          <w:bCs w:val="0"/>
          <w:sz w:val="24"/>
          <w:szCs w:val="24"/>
        </w:rPr>
        <w:fldChar w:fldCharType="end"/>
      </w:r>
    </w:p>
    <w:p w14:paraId="125C0E77">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国家能源局关于加快推进能源数字化智能化发展的若干意见</w:t>
      </w:r>
      <w:r>
        <w:rPr>
          <w:rFonts w:hint="eastAsia" w:ascii="宋体" w:hAnsi="宋体" w:eastAsia="宋体" w:cs="宋体"/>
          <w:b w:val="0"/>
          <w:bCs w:val="0"/>
          <w:sz w:val="24"/>
          <w:szCs w:val="24"/>
          <w:lang w:eastAsia="zh-CN"/>
        </w:rPr>
        <w:t>》</w:t>
      </w:r>
    </w:p>
    <w:p w14:paraId="11D83410">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国能发科技〔2023〕27号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制发日期为</w:t>
      </w:r>
      <w:r>
        <w:rPr>
          <w:rFonts w:hint="eastAsia" w:ascii="宋体" w:hAnsi="宋体" w:eastAsia="宋体" w:cs="宋体"/>
          <w:b w:val="0"/>
          <w:bCs w:val="0"/>
          <w:sz w:val="24"/>
          <w:szCs w:val="24"/>
          <w:lang w:eastAsia="zh-CN"/>
        </w:rPr>
        <w:t>2023</w:t>
      </w:r>
      <w:r>
        <w:rPr>
          <w:rFonts w:hint="eastAsia" w:ascii="宋体" w:hAnsi="宋体" w:eastAsia="宋体" w:cs="宋体"/>
          <w:b w:val="0"/>
          <w:bCs w:val="0"/>
          <w:sz w:val="24"/>
          <w:szCs w:val="24"/>
          <w:lang w:val="en-US" w:eastAsia="zh-CN"/>
        </w:rPr>
        <w:t>年</w:t>
      </w: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lang w:val="en-US" w:eastAsia="zh-CN"/>
        </w:rPr>
        <w:t>月</w:t>
      </w:r>
      <w:r>
        <w:rPr>
          <w:rFonts w:hint="eastAsia" w:ascii="宋体" w:hAnsi="宋体" w:eastAsia="宋体" w:cs="宋体"/>
          <w:b w:val="0"/>
          <w:bCs w:val="0"/>
          <w:sz w:val="24"/>
          <w:szCs w:val="24"/>
          <w:lang w:eastAsia="zh-CN"/>
        </w:rPr>
        <w:t>28</w:t>
      </w:r>
      <w:r>
        <w:rPr>
          <w:rFonts w:hint="eastAsia" w:ascii="宋体" w:hAnsi="宋体" w:eastAsia="宋体" w:cs="宋体"/>
          <w:b w:val="0"/>
          <w:bCs w:val="0"/>
          <w:sz w:val="24"/>
          <w:szCs w:val="24"/>
          <w:lang w:val="en-US" w:eastAsia="zh-CN"/>
        </w:rPr>
        <w:t>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十六）推动能源数据分类分级管理与共享应用。推动能源行业数据分类分级保护制度建设，加强数据安全治理。对于安全敏感性高的数据，提高数据汇聚融合的风险识别与防护水平，强化数据脱敏、加密保护和安全合规评估；对于安全敏感性低的数据，健全确权、流通、交易和分配机制，有序推动数据在产业链上下游的共享，推进数据共享全过程的在线流转和在线跟踪，支持数据便捷共享应用。加强行业大数据中心数据安全监管，强化数据安全风险态势监测，规范数据使用。充分结合全国一体化大数据中心体系建设，推动算力资源规模化集约化布局、协同联动，提高算力使用效率。</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"https://zfxxgk.nea.gov.cn/2023-03/28/c_1310707122.htm"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https://zfxxgk.nea.gov.cn/2023-03/28/c_1310707122.htm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rPr>
        <w:br w:type="textWrapping"/>
      </w:r>
    </w:p>
    <w:p w14:paraId="004E3BD7">
      <w:pPr>
        <w:numPr>
          <w:ilvl w:val="0"/>
          <w:numId w:val="0"/>
        </w:numPr>
        <w:jc w:val="left"/>
        <w:rPr>
          <w:rFonts w:hint="eastAsia" w:ascii="宋体" w:hAnsi="宋体" w:eastAsia="宋体" w:cs="宋体"/>
          <w:b w:val="0"/>
          <w:bCs w:val="0"/>
          <w:sz w:val="24"/>
          <w:szCs w:val="24"/>
        </w:rPr>
      </w:pPr>
    </w:p>
    <w:p w14:paraId="3897E50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《国家能源局综合司关于印发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2023年电力安全监管重点任务</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的通知》</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国能综通安全〔2023〕4号，</w:t>
      </w:r>
      <w:r>
        <w:rPr>
          <w:rFonts w:hint="eastAsia" w:ascii="宋体" w:hAnsi="宋体" w:eastAsia="宋体" w:cs="宋体"/>
          <w:b w:val="0"/>
          <w:bCs w:val="0"/>
          <w:sz w:val="24"/>
          <w:szCs w:val="24"/>
          <w:lang w:val="en-US" w:eastAsia="zh-CN"/>
        </w:rPr>
        <w:t>成文日期为2023年1月17日</w:t>
      </w:r>
    </w:p>
    <w:p w14:paraId="0C81D57E">
      <w:pPr>
        <w:numPr>
          <w:ilvl w:val="0"/>
          <w:numId w:val="0"/>
        </w:numPr>
        <w:jc w:val="left"/>
        <w:rPr>
          <w:rFonts w:ascii="宋体" w:hAnsi="宋体" w:eastAsia="宋体" w:cs="宋体"/>
          <w:sz w:val="24"/>
          <w:szCs w:val="24"/>
        </w:rPr>
      </w:pPr>
      <w:r>
        <w:rPr>
          <w:rFonts w:hint="eastAsia" w:ascii="宋体" w:hAnsi="宋体" w:eastAsia="宋体" w:cs="宋体"/>
          <w:b w:val="0"/>
          <w:bCs w:val="0"/>
          <w:sz w:val="24"/>
          <w:szCs w:val="24"/>
          <w:lang w:val="en-US" w:eastAsia="zh-CN"/>
        </w:rPr>
        <w:t>　　·</w:t>
      </w:r>
      <w:r>
        <w:rPr>
          <w:rFonts w:ascii="宋体" w:hAnsi="宋体" w:eastAsia="宋体" w:cs="宋体"/>
          <w:sz w:val="24"/>
          <w:szCs w:val="24"/>
        </w:rPr>
        <w:t>推进电力行业网络与信息安全工作。组织开展网络安全五年行动计划中期评估，持续推进电力行业网络安全“明目”“赋能”“强基”行动。加强网络安全态势感知能力建设，推进国家级电力网络安全靶场建设，组织开展年度攻防演练。修订行业网络安全事件应急预案，建立完善网络安全监督管理技术支撑体系， 推动量子计算、北斗、商用密码等在电力行业的应用。</w:t>
      </w:r>
    </w:p>
    <w:p w14:paraId="47BDC802">
      <w:pPr>
        <w:numPr>
          <w:ilvl w:val="0"/>
          <w:numId w:val="0"/>
        </w:num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"http://zfxxgk.nea.gov.cn/2023-01/17/c_1310693609.htm" </w:instrText>
      </w:r>
      <w:r>
        <w:rPr>
          <w:rFonts w:hint="default" w:ascii="宋体" w:hAnsi="宋体" w:eastAsia="宋体" w:cs="宋体"/>
          <w:sz w:val="24"/>
          <w:szCs w:val="24"/>
          <w:lang w:val="en-US" w:eastAsia="zh-CN"/>
        </w:rPr>
        <w:fldChar w:fldCharType="separate"/>
      </w:r>
      <w:r>
        <w:rPr>
          <w:rStyle w:val="16"/>
          <w:rFonts w:hint="default" w:ascii="宋体" w:hAnsi="宋体" w:eastAsia="宋体" w:cs="宋体"/>
          <w:sz w:val="24"/>
          <w:szCs w:val="24"/>
          <w:lang w:val="en-US" w:eastAsia="zh-CN"/>
        </w:rPr>
        <w:t>http://zfxxgk.nea.gov.cn/2023-01/17/c_1310693609.htm</w:t>
      </w:r>
      <w:r>
        <w:rPr>
          <w:rFonts w:hint="default" w:ascii="宋体" w:hAnsi="宋体" w:eastAsia="宋体" w:cs="宋体"/>
          <w:sz w:val="24"/>
          <w:szCs w:val="24"/>
          <w:lang w:val="en-US" w:eastAsia="zh-CN"/>
        </w:rPr>
        <w:fldChar w:fldCharType="end"/>
      </w:r>
    </w:p>
    <w:p w14:paraId="0AB380AB">
      <w:pPr>
        <w:numPr>
          <w:ilvl w:val="0"/>
          <w:numId w:val="0"/>
        </w:numPr>
        <w:jc w:val="left"/>
        <w:rPr>
          <w:rFonts w:hint="default" w:ascii="宋体" w:hAnsi="宋体" w:eastAsia="宋体" w:cs="宋体"/>
          <w:sz w:val="24"/>
          <w:szCs w:val="24"/>
          <w:lang w:val="en-US" w:eastAsia="zh-CN"/>
        </w:rPr>
      </w:pPr>
    </w:p>
    <w:p w14:paraId="518F0A3A">
      <w:pPr>
        <w:numPr>
          <w:ilvl w:val="0"/>
          <w:numId w:val="0"/>
        </w:numPr>
        <w:jc w:val="left"/>
        <w:rPr>
          <w:rFonts w:hint="eastAsia" w:ascii="宋体" w:hAnsi="宋体" w:eastAsia="宋体" w:cs="宋体"/>
          <w:b w:val="0"/>
          <w:bCs w:val="0"/>
          <w:sz w:val="24"/>
          <w:szCs w:val="24"/>
        </w:rPr>
      </w:pPr>
    </w:p>
    <w:p w14:paraId="2FE7FE72">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能源局关于印发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电力行业网络安全等级保护管理办法</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14:paraId="08C006C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hanging="480" w:hangingChars="20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val="0"/>
          <w:bCs w:val="0"/>
          <w:sz w:val="24"/>
          <w:szCs w:val="24"/>
        </w:rPr>
        <w:t>国能发安全规〔222〕101号</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333333"/>
          <w:spacing w:val="0"/>
          <w:sz w:val="24"/>
          <w:szCs w:val="24"/>
          <w:shd w:val="clear" w:fill="FFFFFF"/>
        </w:rPr>
        <w:t>2022年11月16日</w:t>
      </w:r>
      <w:r>
        <w:rPr>
          <w:rFonts w:hint="eastAsia" w:ascii="宋体" w:hAnsi="宋体" w:eastAsia="宋体" w:cs="宋体"/>
          <w:i w:val="0"/>
          <w:iCs w:val="0"/>
          <w:caps w:val="0"/>
          <w:color w:val="333333"/>
          <w:spacing w:val="0"/>
          <w:sz w:val="24"/>
          <w:szCs w:val="24"/>
          <w:shd w:val="clear" w:fill="FFFFFF"/>
          <w:lang w:val="en-US" w:eastAsia="zh-CN"/>
        </w:rPr>
        <w:t>起施行，有效期5年</w:t>
      </w:r>
    </w:p>
    <w:p w14:paraId="47164A3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电力企业采用密码进行等级保护的，应当遵照《中华人民共和国密码法》等有关法律法规和国家密码管理部门制定的网络安全等级保护密码技术标准执行。</w:t>
      </w:r>
    </w:p>
    <w:p w14:paraId="3565643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电力企业网络安全等级保护中密码的配备、使用和管理等，应当严格执行国家密码管理的有关规定。运用密码技术进行网络安全等级保护建设与整改时，应当采用商用密码检测、认证机构检测认证合格的商用密码产品和服务。涉及商用密码进口的，还应当符合国家商用密码进口许可有关要求。</w:t>
      </w:r>
    </w:p>
    <w:p w14:paraId="6DD881E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电力企业应当按照有关法律法规要求，开展商用密码应用安全性评估工作。</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"https://www.gov.cn/gongbao/content/2023/content_5743639.htm"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https://www.gov.cn/gongbao/content/2023/content_5743639.htm</w:t>
      </w:r>
      <w:r>
        <w:rPr>
          <w:rFonts w:hint="eastAsia" w:ascii="宋体" w:hAnsi="宋体" w:eastAsia="宋体" w:cs="宋体"/>
          <w:i w:val="0"/>
          <w:iCs w:val="0"/>
          <w:caps w:val="0"/>
          <w:color w:val="333333"/>
          <w:spacing w:val="0"/>
          <w:sz w:val="24"/>
          <w:szCs w:val="24"/>
          <w:shd w:val="clear" w:fill="FFFFFF"/>
        </w:rPr>
        <w:fldChar w:fldCharType="end"/>
      </w:r>
    </w:p>
    <w:p w14:paraId="4C55ED4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14:paraId="03826C87">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国家能源局关于印发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电力行业网络安全管理办法</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14:paraId="602D9C99">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国能发安全规〔2022〕100号，成文</w:t>
      </w:r>
      <w:r>
        <w:rPr>
          <w:rFonts w:hint="eastAsia" w:ascii="宋体" w:hAnsi="宋体" w:eastAsia="宋体" w:cs="宋体"/>
          <w:b w:val="0"/>
          <w:bCs w:val="0"/>
          <w:sz w:val="24"/>
          <w:szCs w:val="24"/>
          <w:lang w:val="en-US" w:eastAsia="zh-CN"/>
        </w:rPr>
        <w:t>日期</w:t>
      </w:r>
      <w:r>
        <w:rPr>
          <w:rFonts w:hint="eastAsia" w:ascii="宋体" w:hAnsi="宋体" w:eastAsia="宋体" w:cs="宋体"/>
          <w:b w:val="0"/>
          <w:bCs w:val="0"/>
          <w:sz w:val="24"/>
          <w:szCs w:val="24"/>
        </w:rPr>
        <w:t>为2022年11月16日</w:t>
      </w:r>
    </w:p>
    <w:p w14:paraId="1DB727D6">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rPr>
        <w:t>电力企业应当按照国家有关规定开展商用密码应用安全性评估等工作，未达到要求的应当及时进行整改；</w:t>
      </w:r>
    </w:p>
    <w:p w14:paraId="11313FD8">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rPr>
        <w:t>电力行业关键信息基础设施运营者应当于每年11月1日前，将当年关键信息基础设施安全保护工作的专项总结报行业部门，总结内容应当包括但不限于网络产品和服务采购情况、密码使用情况、下一年度安全保护计划等。</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"http://zfxxgk.nea.gov.cn/2022-11/16/c_1310683245.htm" </w:instrText>
      </w:r>
      <w:r>
        <w:rPr>
          <w:rFonts w:hint="eastAsia" w:ascii="宋体" w:hAnsi="宋体" w:eastAsia="宋体" w:cs="宋体"/>
          <w:b w:val="0"/>
          <w:bCs w:val="0"/>
          <w:sz w:val="24"/>
          <w:szCs w:val="24"/>
        </w:rPr>
        <w:fldChar w:fldCharType="separate"/>
      </w:r>
      <w:r>
        <w:rPr>
          <w:rStyle w:val="15"/>
          <w:rFonts w:hint="eastAsia" w:ascii="宋体" w:hAnsi="宋体" w:eastAsia="宋体" w:cs="宋体"/>
          <w:b w:val="0"/>
          <w:bCs w:val="0"/>
          <w:sz w:val="24"/>
          <w:szCs w:val="24"/>
        </w:rPr>
        <w:t>http://zfxxgk.nea.gov.cn/2022-11/16/c_1310683245.htm</w:t>
      </w:r>
      <w:r>
        <w:rPr>
          <w:rFonts w:hint="eastAsia" w:ascii="宋体" w:hAnsi="宋体" w:eastAsia="宋体" w:cs="宋体"/>
          <w:b w:val="0"/>
          <w:bCs w:val="0"/>
          <w:sz w:val="24"/>
          <w:szCs w:val="24"/>
        </w:rPr>
        <w:fldChar w:fldCharType="end"/>
      </w:r>
    </w:p>
    <w:p w14:paraId="520026C9">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《国家能源局关于印发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电力行业网络安全等级保护管理办法</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的通知》</w:t>
      </w:r>
    </w:p>
    <w:p w14:paraId="4E1DAF76">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国能发安全规〔2022〕101号，成文</w:t>
      </w:r>
      <w:r>
        <w:rPr>
          <w:rFonts w:hint="eastAsia" w:ascii="宋体" w:hAnsi="宋体" w:eastAsia="宋体" w:cs="宋体"/>
          <w:b w:val="0"/>
          <w:bCs w:val="0"/>
          <w:sz w:val="24"/>
          <w:szCs w:val="24"/>
          <w:lang w:val="en-US" w:eastAsia="zh-CN"/>
        </w:rPr>
        <w:t>日期</w:t>
      </w:r>
      <w:r>
        <w:rPr>
          <w:rFonts w:hint="eastAsia" w:ascii="宋体" w:hAnsi="宋体" w:eastAsia="宋体" w:cs="宋体"/>
          <w:b w:val="0"/>
          <w:bCs w:val="0"/>
          <w:sz w:val="24"/>
          <w:szCs w:val="24"/>
        </w:rPr>
        <w:t>为2022年11月16日</w:t>
      </w:r>
    </w:p>
    <w:p w14:paraId="0632BD8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rPr>
        <w:t>单独设置“网络安全等级保护的密码管理”章节，要求电力企业应当按照有关法律法规要求，开展商用密码应用安全性评估工作</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"http://zfxxgk.nea.gov.cn/2022-11/16/c_1310683235.htm" </w:instrText>
      </w:r>
      <w:r>
        <w:rPr>
          <w:rFonts w:hint="eastAsia" w:ascii="宋体" w:hAnsi="宋体" w:eastAsia="宋体" w:cs="宋体"/>
          <w:b w:val="0"/>
          <w:bCs w:val="0"/>
          <w:sz w:val="24"/>
          <w:szCs w:val="24"/>
        </w:rPr>
        <w:fldChar w:fldCharType="separate"/>
      </w:r>
      <w:r>
        <w:rPr>
          <w:rStyle w:val="15"/>
          <w:rFonts w:hint="eastAsia" w:ascii="宋体" w:hAnsi="宋体" w:eastAsia="宋体" w:cs="宋体"/>
          <w:b w:val="0"/>
          <w:bCs w:val="0"/>
          <w:sz w:val="24"/>
          <w:szCs w:val="24"/>
        </w:rPr>
        <w:t>http://zfxxgk.nea.gov.cn/2022-11/16/c_1310683235.htm</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 国家发展和改革委员会 科学技术部 生态环境部 应急管理部 国家能源局关于“十四五”推动石化化工行业高质量发展的指导意见》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工信部联原〔2022〕34号，成文日期为2022年3月28日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·实施石化行业工业互联网企业网络安全分类分级管理，推动商用密码应用，提升安全防护水平。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"http://www.gov.cn/zhengce/zhengceku/2022-04/08/content_5683972.htm"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http://www.gov.cn/zhengce/zhengceku/2022-04/08/content_5683972.htm</w:t>
      </w:r>
      <w:r>
        <w:rPr>
          <w:rFonts w:hint="eastAsia" w:ascii="宋体" w:hAnsi="宋体" w:eastAsia="宋体" w:cs="宋体"/>
          <w:b w:val="0"/>
          <w:bCs w:val="0"/>
          <w:sz w:val="24"/>
          <w:szCs w:val="24"/>
          <w:lang w:val="en-US" w:eastAsia="zh-CN"/>
        </w:rPr>
        <w:fldChar w:fldCharType="end"/>
      </w:r>
    </w:p>
    <w:p w14:paraId="69C34458">
      <w:pPr>
        <w:numPr>
          <w:ilvl w:val="0"/>
          <w:numId w:val="0"/>
        </w:numPr>
        <w:jc w:val="left"/>
        <w:rPr>
          <w:rFonts w:hint="eastAsia" w:ascii="宋体" w:hAnsi="宋体" w:eastAsia="宋体" w:cs="宋体"/>
          <w:b w:val="0"/>
          <w:bCs w:val="0"/>
          <w:sz w:val="24"/>
          <w:szCs w:val="24"/>
          <w:lang w:val="en-US" w:eastAsia="zh-CN"/>
        </w:rPr>
      </w:pPr>
    </w:p>
    <w:p w14:paraId="5044F50A">
      <w:pPr>
        <w:numPr>
          <w:ilvl w:val="0"/>
          <w:numId w:val="0"/>
        </w:numPr>
        <w:jc w:val="left"/>
        <w:rPr>
          <w:rFonts w:hint="eastAsia" w:ascii="宋体" w:hAnsi="宋体" w:eastAsia="宋体" w:cs="宋体"/>
          <w:b w:val="0"/>
          <w:bCs w:val="0"/>
          <w:sz w:val="24"/>
          <w:szCs w:val="24"/>
          <w:lang w:val="en-US" w:eastAsia="zh-CN"/>
        </w:rPr>
      </w:pPr>
    </w:p>
    <w:p w14:paraId="0B74EC0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《国家能源局关于印发＜2022年能源工作指导意见＞的通知》</w:t>
      </w:r>
    </w:p>
    <w:p w14:paraId="04DC4DE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国能发规划〔2022〕31号，成文日期为2022年3月17日</w:t>
      </w:r>
    </w:p>
    <w:p w14:paraId="5FDE2E8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加快能源系统数字化升级。积极开展煤矿、油气田、管网、电网、电厂等领域设备设施、工艺流程的智能化升级。推动分布式能源、微电网、多能互补等智慧能源与智慧城市、园区协同发展。加强北斗系统、5G、国密算法等新技术和“互联网+安全监管”智能技术在能源领域的推广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"http://zfxxgk.nea.gov.cn/2022-03/17/c_1310534134.htm"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http://zfxxgk.nea.gov.cn/2022-03/17/c_1310534134.htm</w:t>
      </w:r>
      <w:r>
        <w:rPr>
          <w:rFonts w:hint="eastAsia" w:ascii="宋体" w:hAnsi="宋体" w:eastAsia="宋体" w:cs="宋体"/>
          <w:b w:val="0"/>
          <w:bCs w:val="0"/>
          <w:sz w:val="24"/>
          <w:szCs w:val="24"/>
          <w:lang w:val="en-US" w:eastAsia="zh-CN"/>
        </w:rPr>
        <w:fldChar w:fldCharType="end"/>
      </w:r>
    </w:p>
    <w:p w14:paraId="4E3285A9">
      <w:pPr>
        <w:numPr>
          <w:ilvl w:val="0"/>
          <w:numId w:val="0"/>
        </w:numPr>
        <w:jc w:val="left"/>
        <w:rPr>
          <w:rFonts w:hint="eastAsia" w:ascii="宋体" w:hAnsi="宋体" w:eastAsia="宋体" w:cs="宋体"/>
          <w:b w:val="0"/>
          <w:bCs w:val="0"/>
          <w:sz w:val="24"/>
          <w:szCs w:val="24"/>
          <w:lang w:val="en-US" w:eastAsia="zh-CN"/>
        </w:rPr>
      </w:pPr>
    </w:p>
    <w:p w14:paraId="5C436BBC">
      <w:pPr>
        <w:numPr>
          <w:ilvl w:val="0"/>
          <w:numId w:val="0"/>
        </w:numPr>
        <w:jc w:val="left"/>
        <w:rPr>
          <w:rFonts w:hint="eastAsia" w:ascii="宋体" w:hAnsi="宋体" w:eastAsia="宋体" w:cs="宋体"/>
          <w:b w:val="0"/>
          <w:bCs w:val="0"/>
          <w:sz w:val="24"/>
          <w:szCs w:val="24"/>
          <w:lang w:val="en-US" w:eastAsia="zh-CN"/>
        </w:rPr>
      </w:pPr>
    </w:p>
    <w:p w14:paraId="7201BF9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《国家发展改革委 国家能源局关于印发＜“十四五”现代能源体系规划＞的通知》</w:t>
      </w:r>
    </w:p>
    <w:p w14:paraId="56A95C95">
      <w:pPr>
        <w:numPr>
          <w:ilvl w:val="0"/>
          <w:numId w:val="0"/>
        </w:numPr>
        <w:jc w:val="left"/>
        <w:rPr>
          <w:rStyle w:val="16"/>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发改能源〔2022〕210号，成文日期为2022年1月29日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网络安全管控。加快推进电力监控系统安全防护体系完善工程、电力信息系统密码基础设施建设工程、北斗时空基础设施应用及智能化运营体系工程建设，开展北斗时频网建设，推进重点企业电力北斗综合服务平台建设和终端应用试点。建成电力行业网络安全态势感知平台和全业务、分布式、高仿真的电力行业网络安全仿真验证环境。</w:t>
      </w:r>
      <w:r>
        <w:rPr>
          <w:rFonts w:hint="eastAsia" w:ascii="宋体" w:hAnsi="宋体" w:eastAsia="宋体" w:cs="宋体"/>
          <w:b w:val="0"/>
          <w:bCs w:val="0"/>
          <w:sz w:val="24"/>
          <w:szCs w:val="24"/>
          <w:lang w:val="en-US" w:eastAsia="zh-CN"/>
        </w:rPr>
        <w:br w:type="textWrapping"/>
      </w:r>
      <w:r>
        <w:rPr>
          <w:rStyle w:val="16"/>
          <w:rFonts w:hint="eastAsia" w:ascii="宋体" w:hAnsi="宋体" w:eastAsia="宋体" w:cs="宋体"/>
          <w:b w:val="0"/>
          <w:bCs w:val="0"/>
          <w:sz w:val="24"/>
          <w:szCs w:val="24"/>
          <w:lang w:val="en-US" w:eastAsia="zh-CN"/>
        </w:rPr>
        <w:fldChar w:fldCharType="begin"/>
      </w:r>
      <w:r>
        <w:rPr>
          <w:rStyle w:val="16"/>
          <w:rFonts w:hint="eastAsia" w:ascii="宋体" w:hAnsi="宋体" w:eastAsia="宋体" w:cs="宋体"/>
          <w:b w:val="0"/>
          <w:bCs w:val="0"/>
          <w:sz w:val="24"/>
          <w:szCs w:val="24"/>
          <w:lang w:val="en-US" w:eastAsia="zh-CN"/>
        </w:rPr>
        <w:instrText xml:space="preserve"> HYPERLINK "https://www.ndrc.gov.cn/xxgk/zcfb/ghwb/202203/t20220322_1320016.html?state=123&amp;code=&amp;state=123" </w:instrText>
      </w:r>
      <w:r>
        <w:rPr>
          <w:rStyle w:val="16"/>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https://www.ndrc.gov.cn/xxgk/zcfb/ghwb/202203/t20220322_1320016.html?state=123&amp;code=&amp;state=123</w:t>
      </w:r>
      <w:r>
        <w:rPr>
          <w:rStyle w:val="16"/>
          <w:rFonts w:hint="eastAsia" w:ascii="宋体" w:hAnsi="宋体" w:eastAsia="宋体" w:cs="宋体"/>
          <w:b w:val="0"/>
          <w:bCs w:val="0"/>
          <w:sz w:val="24"/>
          <w:szCs w:val="24"/>
          <w:lang w:val="en-US" w:eastAsia="zh-CN"/>
        </w:rPr>
        <w:fldChar w:fldCharType="end"/>
      </w:r>
    </w:p>
    <w:p w14:paraId="51547980">
      <w:pPr>
        <w:numPr>
          <w:ilvl w:val="0"/>
          <w:numId w:val="0"/>
        </w:numPr>
        <w:jc w:val="left"/>
        <w:rPr>
          <w:rFonts w:hint="eastAsia" w:ascii="宋体" w:hAnsi="宋体" w:eastAsia="宋体" w:cs="宋体"/>
          <w:b w:val="0"/>
          <w:bCs w:val="0"/>
          <w:sz w:val="24"/>
          <w:szCs w:val="24"/>
        </w:rPr>
      </w:pPr>
    </w:p>
    <w:p w14:paraId="1C2B372A">
      <w:pPr>
        <w:numPr>
          <w:ilvl w:val="0"/>
          <w:numId w:val="0"/>
        </w:numPr>
        <w:jc w:val="left"/>
        <w:rPr>
          <w:rStyle w:val="18"/>
          <w:rFonts w:hint="eastAsia" w:ascii="宋体" w:hAnsi="宋体" w:eastAsia="宋体" w:cs="宋体"/>
          <w:sz w:val="24"/>
          <w:szCs w:val="24"/>
          <w:lang w:val="en-US" w:eastAsia="zh-CN"/>
        </w:rPr>
      </w:pPr>
      <w:r>
        <w:rPr>
          <w:rFonts w:hint="eastAsia" w:ascii="宋体" w:hAnsi="宋体" w:eastAsia="宋体" w:cs="宋体"/>
          <w:b w:val="0"/>
          <w:bCs w:val="0"/>
          <w:sz w:val="24"/>
          <w:szCs w:val="24"/>
        </w:rPr>
        <w:br w:type="textWrapping"/>
      </w:r>
      <w:bookmarkStart w:id="5" w:name="_Toc24539"/>
      <w:r>
        <w:rPr>
          <w:rStyle w:val="18"/>
          <w:rFonts w:hint="eastAsia" w:ascii="宋体" w:hAnsi="宋体" w:eastAsia="宋体" w:cs="宋体"/>
          <w:sz w:val="24"/>
          <w:szCs w:val="24"/>
          <w:lang w:val="en-US" w:eastAsia="zh-CN"/>
        </w:rPr>
        <w:t>（四）资源信息化网络密码应用</w:t>
      </w:r>
      <w:r>
        <w:rPr>
          <w:rStyle w:val="18"/>
          <w:rFonts w:hint="eastAsia" w:ascii="宋体" w:hAnsi="宋体" w:eastAsia="宋体" w:cs="宋体"/>
          <w:sz w:val="24"/>
          <w:szCs w:val="24"/>
          <w:lang w:val="en-US" w:eastAsia="zh-CN"/>
        </w:rPr>
        <w:br w:type="textWrapping"/>
      </w:r>
      <w:bookmarkEnd w:id="5"/>
    </w:p>
    <w:p w14:paraId="3C97BD0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《水利部关于推进水库、水闸、蓄滞洪区运行管理数字孪生的指导意见》</w:t>
      </w:r>
    </w:p>
    <w:p w14:paraId="20706A10">
      <w:pPr>
        <w:numPr>
          <w:ilvl w:val="0"/>
          <w:numId w:val="0"/>
        </w:numPr>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sz w:val="24"/>
          <w:szCs w:val="24"/>
          <w:lang w:val="en-US" w:eastAsia="zh-CN"/>
        </w:rPr>
        <w:t>水运管〔2024〕269号，成文日期为2024年10月14日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（五）加强网络信息安全保障</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i w:val="0"/>
          <w:iCs w:val="0"/>
          <w:caps w:val="0"/>
          <w:color w:val="333333"/>
          <w:spacing w:val="0"/>
          <w:sz w:val="24"/>
          <w:szCs w:val="24"/>
          <w:shd w:val="clear" w:fill="FFFFFF"/>
        </w:rPr>
        <w:t>落实网络信息安全管理主体责任，严格执行国家和水利行业网络信息安全和保密管理规定，构建完善的网络安全组织管理体系、安全技术体系和安全运营体系，加强数据安全保护，全面保障数字孪生水利工程数据安全。落实工控系统分区分域、设备自主可控、国产商用密码保护、网络可信准入等要求。</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"https://www.gov.cn/gongbao/2024/issue_11726/202411/content_6989758.html"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https://www.gov.cn/gongbao/2024/issue_11726/202411/content_6989758.html</w:t>
      </w:r>
      <w:r>
        <w:rPr>
          <w:rFonts w:hint="eastAsia" w:ascii="宋体" w:hAnsi="宋体" w:eastAsia="宋体" w:cs="宋体"/>
          <w:i w:val="0"/>
          <w:iCs w:val="0"/>
          <w:caps w:val="0"/>
          <w:color w:val="333333"/>
          <w:spacing w:val="0"/>
          <w:sz w:val="24"/>
          <w:szCs w:val="24"/>
          <w:shd w:val="clear" w:fill="FFFFFF"/>
        </w:rPr>
        <w:fldChar w:fldCharType="end"/>
      </w:r>
    </w:p>
    <w:p w14:paraId="7A475A7A">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《水利部关于印发＜水利建设市场经营主体信用信息管理办法＞的通知》</w:t>
      </w:r>
    </w:p>
    <w:p w14:paraId="4C005B2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水建设〔2024〕201号，成文日期为2024年7月27日</w:t>
      </w:r>
    </w:p>
    <w:p w14:paraId="70D71C7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    第二十八条　全国水利监管平台应加强信用信息安全基础设施和安全防护能力建设，保障信息安全。按照保护水利建设市场经营主体权益的要求，明确信息查询使用权限和程序，依据《信息安全等级保护管理办法》做好系统备案和安全保护等级确定，对重要信息加密保护，完善信息查询使用登记和审查制度，防止信息被窃取或泄露。</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"https://www.gov.cn/gongbao/2024/issue_11606/202409/content_6976921.html"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https://www.gov.cn/gongbao/2024/issue_11606/202409/content_6976921.html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5FEBD361">
      <w:pPr>
        <w:numPr>
          <w:ilvl w:val="0"/>
          <w:numId w:val="0"/>
        </w:numPr>
        <w:jc w:val="left"/>
        <w:rPr>
          <w:rFonts w:hint="eastAsia" w:ascii="宋体" w:hAnsi="宋体" w:eastAsia="宋体" w:cs="宋体"/>
          <w:b w:val="0"/>
          <w:bCs w:val="0"/>
          <w:sz w:val="24"/>
          <w:szCs w:val="24"/>
          <w:lang w:val="en-US" w:eastAsia="zh-CN"/>
        </w:rPr>
      </w:pPr>
    </w:p>
    <w:p w14:paraId="330C124B">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《自然资源部关于印发＜关于加强自然资源领域基础研究的若干举措＞的通知》</w:t>
      </w:r>
    </w:p>
    <w:p w14:paraId="0344DFC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自然资发〔2024〕118号，成文日期为2024年6月30日</w:t>
      </w:r>
    </w:p>
    <w:p w14:paraId="7376BA2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九、发展需求-数据-知识驱动的科研范式</w:t>
      </w:r>
    </w:p>
    <w:p w14:paraId="089B80E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以自然资源数据为基础，以专业领域知识为引导，以地球系统模拟为场景，推动大数据、人工智能、商用密码等先进技术在自然资源系统性复杂性问题研究上的创新应用，催生新的自然资源研究方向，提升自然资源创新效能。</w:t>
      </w:r>
    </w:p>
    <w:p w14:paraId="06030FF8">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"https://www.gov.cn/zhengce/zhengceku/202407/content_6960890.htm"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https://www.gov.cn/zhengce/zhengceku/202407/content_6960890.htm</w:t>
      </w:r>
      <w:r>
        <w:rPr>
          <w:rFonts w:hint="eastAsia" w:ascii="宋体" w:hAnsi="宋体" w:eastAsia="宋体" w:cs="宋体"/>
          <w:b w:val="0"/>
          <w:bCs w:val="0"/>
          <w:sz w:val="24"/>
          <w:szCs w:val="24"/>
          <w:lang w:val="en-US" w:eastAsia="zh-CN"/>
        </w:rPr>
        <w:fldChar w:fldCharType="end"/>
      </w:r>
    </w:p>
    <w:p w14:paraId="35B1977D">
      <w:pPr>
        <w:numPr>
          <w:ilvl w:val="0"/>
          <w:numId w:val="0"/>
        </w:numPr>
        <w:jc w:val="left"/>
        <w:rPr>
          <w:rFonts w:hint="eastAsia" w:ascii="宋体" w:hAnsi="宋体" w:eastAsia="宋体" w:cs="宋体"/>
          <w:b w:val="0"/>
          <w:bCs w:val="0"/>
          <w:sz w:val="24"/>
          <w:szCs w:val="24"/>
          <w:lang w:val="en-US" w:eastAsia="zh-CN"/>
        </w:rPr>
      </w:pPr>
    </w:p>
    <w:p w14:paraId="787B39D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《自然资源部关于印发＜自然资源领域数据安全管理办法＞的通知》</w:t>
      </w:r>
    </w:p>
    <w:p w14:paraId="46C0F6C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自然资发〔2024〕57号，成文日期为</w:t>
      </w:r>
      <w:r>
        <w:rPr>
          <w:rFonts w:hint="eastAsia" w:ascii="宋体" w:hAnsi="宋体" w:eastAsia="宋体" w:cs="宋体"/>
          <w:i w:val="0"/>
          <w:iCs w:val="0"/>
          <w:caps w:val="0"/>
          <w:color w:val="333333"/>
          <w:spacing w:val="0"/>
          <w:sz w:val="24"/>
          <w:szCs w:val="24"/>
          <w:shd w:val="clear" w:fill="FFFFFF"/>
        </w:rPr>
        <w:t>2024年3月22日</w:t>
      </w:r>
    </w:p>
    <w:p w14:paraId="57659A0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第十二条 数据处理者应当对数据处理活动安全负主体责任,对各类数据实行分级防护，不同级别数据同时被处理且难以分别采取保护措施的，应当按照其中级别最高的要求实施保护，确保数据持续处于有效保护和合法利用的状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（三）利用互联网等信息网络开展数据处理活动时，要落实网络安全等级保护、关键信息基础设施安全保护、密码保护和保密等制度要求；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第二十三条  数据处理者应当在数据全生命周期处理过程中，记录数据处理、权限管理、人员操作等日志，并采用商用密码技术保护日志的完整性。其中，一般数据的日志留存时间不少于六个月，涉及重要数据安全事件处置、溯源的，相关日志留存时间不少于一年；涉及向他人提供、委托处理、共同处理重要数据的，相关日志留存时间不少于三年。涉及核心数据安全事件处置、溯源的相关日志留存时间不少于三年。</w:t>
      </w:r>
    </w:p>
    <w:p w14:paraId="051437D3">
      <w:pPr>
        <w:widowControl w:val="0"/>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"https://www.gov.cn/zhengce/zhengceku/202403/content_6942232.htm"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https://www.gov.cn/zhengce/zhengceku/202403/content_6942232.htm</w:t>
      </w:r>
      <w:r>
        <w:rPr>
          <w:rFonts w:hint="eastAsia" w:ascii="宋体" w:hAnsi="宋体" w:eastAsia="宋体" w:cs="宋体"/>
          <w:b w:val="0"/>
          <w:bCs w:val="0"/>
          <w:sz w:val="24"/>
          <w:szCs w:val="24"/>
          <w:lang w:val="en-US" w:eastAsia="zh-CN"/>
        </w:rPr>
        <w:fldChar w:fldCharType="end"/>
      </w:r>
    </w:p>
    <w:p w14:paraId="17AE157B">
      <w:pPr>
        <w:widowControl w:val="0"/>
        <w:numPr>
          <w:ilvl w:val="0"/>
          <w:numId w:val="0"/>
        </w:numPr>
        <w:jc w:val="left"/>
        <w:rPr>
          <w:rFonts w:hint="eastAsia" w:ascii="宋体" w:hAnsi="宋体" w:eastAsia="宋体" w:cs="宋体"/>
          <w:b w:val="0"/>
          <w:bCs w:val="0"/>
          <w:sz w:val="24"/>
          <w:szCs w:val="24"/>
          <w:lang w:val="en-US" w:eastAsia="zh-CN"/>
        </w:rPr>
      </w:pPr>
    </w:p>
    <w:p w14:paraId="581CBF5C">
      <w:pPr>
        <w:widowControl w:val="0"/>
        <w:numPr>
          <w:ilvl w:val="0"/>
          <w:numId w:val="0"/>
        </w:numPr>
        <w:jc w:val="left"/>
        <w:rPr>
          <w:rFonts w:hint="eastAsia" w:ascii="宋体" w:hAnsi="宋体" w:eastAsia="宋体" w:cs="宋体"/>
          <w:b w:val="0"/>
          <w:bCs w:val="0"/>
          <w:sz w:val="24"/>
          <w:szCs w:val="24"/>
          <w:lang w:val="en-US" w:eastAsia="zh-CN"/>
        </w:rPr>
      </w:pPr>
    </w:p>
    <w:p w14:paraId="60D7F4E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《自然资源部关于印发〈自然资源数字化治理能力提升总体方案〉的通知》</w:t>
      </w:r>
    </w:p>
    <w:p w14:paraId="1D697DB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自然资发〔2024〕33号，成文时间为2024年2月5日</w:t>
      </w:r>
    </w:p>
    <w:p w14:paraId="1D02E7F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要求健全密码应用保障体系，构建以密码技术为核心的自然资源数据安全防护体系，统筹国土、海洋、测绘、地调等已建商用密码平台，打造部级密码平台，利用商用密码技术和产品，为关键信息基础设施和重要信息系统提供统一的密码技术支撑。</w:t>
      </w:r>
    </w:p>
    <w:p w14:paraId="3ABF4AC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"https://www.gov.cn/zhengce/zhengceku/202402/content_6931049.htm"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https://www.gov.cn/zhengce/zhengceku/202402/content_6931049.htm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p>
    <w:p w14:paraId="5E9AA12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《自然资源部关于加快测绘地理信息事业转型升级更好支撑高质量发展的意见》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自然资发〔2023〕158号，成文日期为2023年8月22日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地理信息安全监管。以安全应用为核心，完善测绘地理信息法规政策，建立测绘地理信息数据分类分级保护制度，研究制定地理信息数据流通和交易负面清单。推进保密处理技术研发应用，推动国产密码技术融合应用。加强卫星导航定位基准站安全管理，规范基准站备案、建设、运维和服务。</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"https://www.gov.cn/zhengce/zhengceku/202308/content_6899855.htm"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https://www.gov.cn/zhengce/zhengceku/202308/content_6899855.htm</w:t>
      </w:r>
      <w:r>
        <w:rPr>
          <w:rFonts w:hint="eastAsia" w:ascii="宋体" w:hAnsi="宋体" w:eastAsia="宋体" w:cs="宋体"/>
          <w:b w:val="0"/>
          <w:bCs w:val="0"/>
          <w:sz w:val="24"/>
          <w:szCs w:val="24"/>
          <w:lang w:val="en-US" w:eastAsia="zh-CN"/>
        </w:rPr>
        <w:fldChar w:fldCharType="end"/>
      </w:r>
    </w:p>
    <w:p w14:paraId="65DAF01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"http://www.mwr.gov.cn/zwgk/gknr/202303/t20230317_1649867.html" \o "《水利部办公厅关于印发2023年水利网信工作要点的通知》" \t "_blank"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《水利部办公厅关于印发2023年水利网信工作要点的通知》</w:t>
      </w:r>
      <w:r>
        <w:rPr>
          <w:rFonts w:hint="eastAsia" w:ascii="宋体" w:hAnsi="宋体" w:eastAsia="宋体" w:cs="宋体"/>
          <w:b w:val="0"/>
          <w:bCs w:val="0"/>
          <w:sz w:val="24"/>
          <w:szCs w:val="24"/>
          <w:lang w:val="en-US" w:eastAsia="zh-CN"/>
        </w:rPr>
        <w:fldChar w:fldCharType="end"/>
      </w:r>
    </w:p>
    <w:p w14:paraId="459CD475">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"http://www.mwr.gov.cn/zwgk/gknr/202303/t20230317_1649867.html" \o "《水利部办公厅关于印发2023年水利网信工作要点的通知》" \t "_blank"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办信息〔2023〕73号，成文日期为2023年3月14日</w:t>
      </w:r>
      <w:r>
        <w:rPr>
          <w:rFonts w:hint="eastAsia" w:ascii="宋体" w:hAnsi="宋体" w:eastAsia="宋体" w:cs="宋体"/>
          <w:b w:val="0"/>
          <w:bCs w:val="0"/>
          <w:sz w:val="24"/>
          <w:szCs w:val="24"/>
          <w:lang w:val="en-US" w:eastAsia="zh-CN"/>
        </w:rPr>
        <w:fldChar w:fldCharType="end"/>
      </w:r>
    </w:p>
    <w:p w14:paraId="184D88A3">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·持续推进数字孪生海河建设。深入开展流域数据治理，完善海河流域水利一张图1.0并推广应用。初步搭建模型管理平台，开展模型库建设。强化数据安全防护，建设数据安全基础防护设施，加大密码技术应用。</w:t>
      </w:r>
    </w:p>
    <w:p w14:paraId="66227B23">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推进商用密码应用。开展以商用密码技术为核心的水利部数据安全治理平台项目建设，大力推进商用密码在小浪底水利枢纽、大藤峡水利枢纽等水利工程关键信息基础设施的应用，坚持数字孪生水利建设与密码应用“同步规划、同步建设、同步运行”原则，持续将商用密码应用落实情况统筹纳入水利网络安全监督检查范围，推动密码应用与网络安全、数据安全融合发展。</w:t>
      </w:r>
    </w:p>
    <w:p w14:paraId="1F6418D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"http://www.mwr.gov.cn/zwgk/gknr/202303/t20230317_1649867.html"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http://www.mwr.gov.cn/zwgk/gknr/202303/t20230317_1649867.html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《自然资源部办公厅 国家林业和草原局办公室关于强化业务协同加快推进林权登记资料移交 数据整合和信息共享的通知》</w:t>
      </w:r>
    </w:p>
    <w:p w14:paraId="0BD5AA7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自然资办发〔2023〕2号，成文日期为2023年1月12日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四、健全林权登记与林业管理信息共享机制</w:t>
      </w:r>
    </w:p>
    <w:p w14:paraId="7EB4CBBD">
      <w:pPr>
        <w:numPr>
          <w:ilvl w:val="0"/>
          <w:numId w:val="0"/>
        </w:numPr>
        <w:ind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各地自然资源和林草部门，应当立足本地信息化建设实际，通过多种方式、多种渠道，积极推进林业管理和林权登记信息互通共享，能够通过信息共享获取的材料，不得要求群众重复提交。</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三）保障信息共享安全。各地要建立安全的信息共享物理环境、网络环境、数据加密与传输机制，保障共享数据安全。要制定信息共享安全制度，共享信息仅用于林业管理和林权登记工作，防止数据外泄，确保信息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"https://www.gov.cn/zhengce/zhengceku/2023-01/19/content_5737927.htm"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https://www.gov.cn/zhengce/zhengceku/2023-01/19/content_5737927.htm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《水利部关于印发〈“十四五”水利科技创新规划〉的通知》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水国科〔2021〕416号，成文日期为2021年12月31日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·开展水利关键信息基础设施网络安全防护体系研究,构建网络安全监控平台,研制安全可控的水利关键信息基础设施核心装备,并基于国产密码技术开展数据安全防护研究。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"http://www.mwr.gov.cn/zwgk/gknr/202201/t20220117_1559761.html"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http://www.mwr.gov.cn/zwgk/gknr/202201/t20220117_1559761.html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rPr>
        <w:br w:type="textWrapping"/>
      </w:r>
      <w:bookmarkStart w:id="6" w:name="_Toc1916"/>
      <w:r>
        <w:rPr>
          <w:rStyle w:val="18"/>
          <w:rFonts w:hint="eastAsia" w:ascii="宋体" w:hAnsi="宋体" w:eastAsia="宋体" w:cs="宋体"/>
          <w:sz w:val="24"/>
          <w:szCs w:val="24"/>
          <w:lang w:val="en-US" w:eastAsia="zh-CN"/>
        </w:rPr>
        <w:t>（五）城市基础设施网络密码应用</w:t>
      </w:r>
      <w:r>
        <w:rPr>
          <w:rStyle w:val="18"/>
          <w:rFonts w:hint="eastAsia" w:ascii="宋体" w:hAnsi="宋体" w:eastAsia="宋体" w:cs="宋体"/>
          <w:sz w:val="24"/>
          <w:szCs w:val="24"/>
          <w:lang w:val="en-US" w:eastAsia="zh-CN"/>
        </w:rPr>
        <w:br w:type="textWrapping"/>
      </w:r>
      <w:bookmarkEnd w:id="6"/>
      <w:r>
        <w:rPr>
          <w:rStyle w:val="18"/>
          <w:rFonts w:hint="eastAsia" w:ascii="宋体" w:hAnsi="宋体" w:eastAsia="宋体" w:cs="宋体"/>
          <w:sz w:val="24"/>
          <w:szCs w:val="24"/>
          <w:lang w:val="en-US" w:eastAsia="zh-CN"/>
        </w:rPr>
        <w:br w:type="textWrapping"/>
      </w:r>
      <w:r>
        <w:rPr>
          <w:rFonts w:hint="eastAsia" w:ascii="宋体" w:hAnsi="宋体" w:eastAsia="宋体" w:cs="宋体"/>
          <w:b w:val="0"/>
          <w:bCs w:val="0"/>
          <w:sz w:val="24"/>
          <w:szCs w:val="24"/>
          <w:lang w:val="en-US" w:eastAsia="zh-CN"/>
        </w:rPr>
        <w:t>《住房城乡建设部关于印发＜城市数字公共基础设施标准体系＞的通知》</w:t>
      </w:r>
    </w:p>
    <w:p w14:paraId="41BB31C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建标〔2024〕79号，成文日期为2024年10月25日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9.安全与保障</w:t>
      </w:r>
    </w:p>
    <w:p w14:paraId="2A37FC0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规范信息技术应用创新、安全与保障等方面的要求，为网络基础设施、感知基础设施、算力基础设施、融合基础设施、公共数字底座、应用支撑、建设与运营提供安全支撑，包括网络安全、数据安全、密码应用安全和其他4个子类标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（3）密码应用安全</w:t>
      </w:r>
    </w:p>
    <w:p w14:paraId="27C63E3A">
      <w:pPr>
        <w:numPr>
          <w:ilvl w:val="0"/>
          <w:numId w:val="0"/>
        </w:numPr>
        <w:jc w:val="left"/>
        <w:rPr>
          <w:rStyle w:val="18"/>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　　规范城市数字公共基础设施的物理与环境、网络与通信、设备与计算、应用与数据等国产密码应用的安全要求。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"https://www.gov.cn/zhengce/zhengceku/202411/content_6984542.htm"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https://www.gov.cn/zhengce/zhengceku/202411/content_6984542.htm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5EA5B39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《住房和城乡建设部等部门关于加快发展数字家庭 提高居住品质的指导意见》</w:t>
      </w:r>
    </w:p>
    <w:p w14:paraId="5E09545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建标〔2021〕28号，成文日期为2021年04月06日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强化网络和数字安全保障。数字家庭系统应同步规划、同步建设、同步使用网络安全技术。按照法律法规规定和国家强制性标准要求，采取技术等必要措施，保障数字家庭系统安全稳定运行，防止信息泄露、损毁、丢失，确保收集、产生数据和个人信息安全。遵守密码应用规定，形成安全可控完整的产业生态系统。</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"http://www.gov.cn/zhengce/zhengceku/2021-04/17/content_5600311.htm"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http://www.gov.cn/zhengce/zhengceku/2021-04/17/content_5600311.htm</w:t>
      </w:r>
      <w:r>
        <w:rPr>
          <w:rFonts w:hint="eastAsia" w:ascii="宋体" w:hAnsi="宋体" w:eastAsia="宋体" w:cs="宋体"/>
          <w:b w:val="0"/>
          <w:bCs w:val="0"/>
          <w:sz w:val="24"/>
          <w:szCs w:val="24"/>
          <w:lang w:val="en-US" w:eastAsia="zh-CN"/>
        </w:rPr>
        <w:fldChar w:fldCharType="end"/>
      </w:r>
    </w:p>
    <w:p w14:paraId="44C8DF9B">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《国家发展改革委办公厅关于加快落实新型城镇化建设补短板强弱项工作有序推进县城智慧化改造的通知》</w:t>
      </w:r>
    </w:p>
    <w:p w14:paraId="43D194C4">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发改办高技〔2020〕530号，成文日期为2020年7月9日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b w:val="0"/>
          <w:bCs w:val="0"/>
          <w:i w:val="0"/>
          <w:iCs w:val="0"/>
          <w:caps w:val="0"/>
          <w:color w:val="333333"/>
          <w:spacing w:val="0"/>
          <w:sz w:val="24"/>
          <w:szCs w:val="24"/>
          <w:shd w:val="clear" w:fill="FFFFFF"/>
        </w:rPr>
        <w:t>建全网络安全防护体系，做好网络安全与智慧化改造一体化推进。落实网络安全工作责任制要求，完善智慧化改造网络安全管理制度规范。认真落实国家网络安全等级保护、网络安全审查、云计算采购服务、国家密码管理等有关规定，采购部署安全可靠的软硬件产品，具备与智慧化水平相匹配的体系化安全防护能力。</w:t>
      </w:r>
      <w:r>
        <w:rPr>
          <w:rFonts w:hint="eastAsia" w:ascii="宋体" w:hAnsi="宋体" w:eastAsia="宋体" w:cs="宋体"/>
          <w:b w:val="0"/>
          <w:bCs w:val="0"/>
          <w:i w:val="0"/>
          <w:iCs w:val="0"/>
          <w:caps w:val="0"/>
          <w:color w:val="333333"/>
          <w:spacing w:val="0"/>
          <w:sz w:val="24"/>
          <w:szCs w:val="24"/>
          <w:shd w:val="clear" w:fill="FFFFFF"/>
        </w:rPr>
        <w:br w:type="textWrapping"/>
      </w:r>
      <w:r>
        <w:rPr>
          <w:rFonts w:hint="eastAsia" w:ascii="宋体" w:hAnsi="宋体" w:eastAsia="宋体" w:cs="宋体"/>
          <w:b w:val="0"/>
          <w:bCs w:val="0"/>
          <w:i w:val="0"/>
          <w:iCs w:val="0"/>
          <w:caps w:val="0"/>
          <w:color w:val="333333"/>
          <w:spacing w:val="0"/>
          <w:sz w:val="24"/>
          <w:szCs w:val="24"/>
          <w:shd w:val="clear" w:fill="FFFFFF"/>
        </w:rPr>
        <w:fldChar w:fldCharType="begin"/>
      </w:r>
      <w:r>
        <w:rPr>
          <w:rFonts w:hint="eastAsia" w:ascii="宋体" w:hAnsi="宋体" w:eastAsia="宋体" w:cs="宋体"/>
          <w:b w:val="0"/>
          <w:bCs w:val="0"/>
          <w:i w:val="0"/>
          <w:iCs w:val="0"/>
          <w:caps w:val="0"/>
          <w:color w:val="333333"/>
          <w:spacing w:val="0"/>
          <w:sz w:val="24"/>
          <w:szCs w:val="24"/>
          <w:shd w:val="clear" w:fill="FFFFFF"/>
        </w:rPr>
        <w:instrText xml:space="preserve"> HYPERLINK "http://www.gov.cn/zhengce/zhengceku/2020-07/29/content_5530869.htm" </w:instrText>
      </w:r>
      <w:r>
        <w:rPr>
          <w:rFonts w:hint="eastAsia" w:ascii="宋体" w:hAnsi="宋体" w:eastAsia="宋体" w:cs="宋体"/>
          <w:b w:val="0"/>
          <w:bCs w:val="0"/>
          <w:i w:val="0"/>
          <w:iCs w:val="0"/>
          <w:caps w:val="0"/>
          <w:color w:val="333333"/>
          <w:spacing w:val="0"/>
          <w:sz w:val="24"/>
          <w:szCs w:val="24"/>
          <w:shd w:val="clear" w:fill="FFFFFF"/>
        </w:rPr>
        <w:fldChar w:fldCharType="separate"/>
      </w:r>
      <w:r>
        <w:rPr>
          <w:rStyle w:val="16"/>
          <w:rFonts w:hint="eastAsia" w:ascii="宋体" w:hAnsi="宋体" w:eastAsia="宋体" w:cs="宋体"/>
          <w:b w:val="0"/>
          <w:bCs w:val="0"/>
          <w:i w:val="0"/>
          <w:iCs w:val="0"/>
          <w:caps w:val="0"/>
          <w:spacing w:val="0"/>
          <w:sz w:val="24"/>
          <w:szCs w:val="24"/>
          <w:shd w:val="clear" w:fill="FFFFFF"/>
        </w:rPr>
        <w:t>http://www.gov.cn/zhengce/zhengceku/2020-07/29/content_5530869.htm</w:t>
      </w:r>
      <w:r>
        <w:rPr>
          <w:rFonts w:hint="eastAsia" w:ascii="宋体" w:hAnsi="宋体" w:eastAsia="宋体" w:cs="宋体"/>
          <w:b w:val="0"/>
          <w:bCs w:val="0"/>
          <w:i w:val="0"/>
          <w:iCs w:val="0"/>
          <w:caps w:val="0"/>
          <w:color w:val="333333"/>
          <w:spacing w:val="0"/>
          <w:sz w:val="24"/>
          <w:szCs w:val="24"/>
          <w:shd w:val="clear" w:fill="FFFFFF"/>
        </w:rPr>
        <w:fldChar w:fldCharType="end"/>
      </w:r>
      <w:bookmarkStart w:id="7" w:name="_Toc29229"/>
    </w:p>
    <w:p w14:paraId="2F328AED">
      <w:pPr>
        <w:jc w:val="left"/>
        <w:rPr>
          <w:rStyle w:val="17"/>
          <w:rFonts w:hint="eastAsia" w:ascii="宋体" w:hAnsi="宋体" w:eastAsia="宋体" w:cs="宋体"/>
          <w:sz w:val="28"/>
          <w:szCs w:val="28"/>
          <w:lang w:val="en-US" w:eastAsia="zh-CN"/>
        </w:rPr>
      </w:pPr>
    </w:p>
    <w:p w14:paraId="47CE3A36">
      <w:pPr>
        <w:jc w:val="left"/>
        <w:rPr>
          <w:rStyle w:val="17"/>
          <w:rFonts w:hint="eastAsia" w:ascii="宋体" w:hAnsi="宋体" w:eastAsia="宋体" w:cs="宋体"/>
          <w:sz w:val="28"/>
          <w:szCs w:val="28"/>
          <w:lang w:val="en-US" w:eastAsia="zh-CN"/>
        </w:rPr>
      </w:pPr>
    </w:p>
    <w:p w14:paraId="71E84079">
      <w:pPr>
        <w:jc w:val="left"/>
        <w:rPr>
          <w:rStyle w:val="17"/>
          <w:rFonts w:hint="eastAsia" w:ascii="宋体" w:hAnsi="宋体" w:eastAsia="宋体" w:cs="宋体"/>
          <w:sz w:val="28"/>
          <w:szCs w:val="28"/>
          <w:lang w:val="en-US" w:eastAsia="zh-CN"/>
        </w:rPr>
      </w:pPr>
    </w:p>
    <w:p w14:paraId="380B3117">
      <w:pPr>
        <w:jc w:val="left"/>
        <w:rPr>
          <w:rStyle w:val="17"/>
          <w:rFonts w:hint="eastAsia" w:ascii="宋体" w:hAnsi="宋体" w:eastAsia="宋体" w:cs="宋体"/>
          <w:sz w:val="28"/>
          <w:szCs w:val="28"/>
          <w:lang w:val="en-US" w:eastAsia="zh-CN"/>
        </w:rPr>
      </w:pPr>
    </w:p>
    <w:p w14:paraId="161ACEA0">
      <w:pPr>
        <w:jc w:val="left"/>
        <w:rPr>
          <w:rStyle w:val="17"/>
          <w:rFonts w:hint="eastAsia" w:ascii="宋体" w:hAnsi="宋体" w:eastAsia="宋体" w:cs="宋体"/>
          <w:sz w:val="28"/>
          <w:szCs w:val="28"/>
          <w:lang w:val="en-US" w:eastAsia="zh-CN"/>
        </w:rPr>
      </w:pPr>
    </w:p>
    <w:p w14:paraId="6B912569">
      <w:pPr>
        <w:jc w:val="left"/>
        <w:rPr>
          <w:rStyle w:val="17"/>
          <w:rFonts w:hint="eastAsia" w:ascii="宋体" w:hAnsi="宋体" w:eastAsia="宋体" w:cs="宋体"/>
          <w:sz w:val="28"/>
          <w:szCs w:val="28"/>
          <w:lang w:val="en-US" w:eastAsia="zh-CN"/>
        </w:rPr>
      </w:pPr>
    </w:p>
    <w:p w14:paraId="64F9B79C">
      <w:pPr>
        <w:jc w:val="left"/>
        <w:rPr>
          <w:rStyle w:val="17"/>
          <w:rFonts w:hint="eastAsia" w:ascii="宋体" w:hAnsi="宋体" w:eastAsia="宋体" w:cs="宋体"/>
          <w:sz w:val="28"/>
          <w:szCs w:val="28"/>
          <w:lang w:val="en-US" w:eastAsia="zh-CN"/>
        </w:rPr>
      </w:pPr>
    </w:p>
    <w:p w14:paraId="29D4A879">
      <w:pPr>
        <w:jc w:val="left"/>
        <w:rPr>
          <w:rStyle w:val="17"/>
          <w:rFonts w:hint="eastAsia" w:ascii="宋体" w:hAnsi="宋体" w:eastAsia="宋体" w:cs="宋体"/>
          <w:sz w:val="28"/>
          <w:szCs w:val="28"/>
          <w:lang w:val="en-US" w:eastAsia="zh-CN"/>
        </w:rPr>
      </w:pPr>
    </w:p>
    <w:p w14:paraId="6B5E6F2D">
      <w:pPr>
        <w:jc w:val="left"/>
        <w:rPr>
          <w:rStyle w:val="17"/>
          <w:rFonts w:hint="eastAsia" w:ascii="宋体" w:hAnsi="宋体" w:eastAsia="宋体" w:cs="宋体"/>
          <w:sz w:val="28"/>
          <w:szCs w:val="28"/>
          <w:lang w:val="en-US" w:eastAsia="zh-CN"/>
        </w:rPr>
      </w:pPr>
    </w:p>
    <w:p w14:paraId="64949435">
      <w:pPr>
        <w:jc w:val="left"/>
        <w:rPr>
          <w:rStyle w:val="17"/>
          <w:rFonts w:hint="eastAsia" w:ascii="宋体" w:hAnsi="宋体" w:eastAsia="宋体" w:cs="宋体"/>
          <w:sz w:val="28"/>
          <w:szCs w:val="28"/>
          <w:lang w:val="en-US" w:eastAsia="zh-CN"/>
        </w:rPr>
      </w:pPr>
    </w:p>
    <w:p w14:paraId="756F24D1">
      <w:pPr>
        <w:jc w:val="left"/>
        <w:rPr>
          <w:rStyle w:val="17"/>
          <w:rFonts w:hint="eastAsia" w:ascii="宋体" w:hAnsi="宋体" w:eastAsia="宋体" w:cs="宋体"/>
          <w:sz w:val="28"/>
          <w:szCs w:val="28"/>
          <w:lang w:val="en-US" w:eastAsia="zh-CN"/>
        </w:rPr>
      </w:pPr>
    </w:p>
    <w:p w14:paraId="0D445D47">
      <w:pPr>
        <w:jc w:val="left"/>
        <w:rPr>
          <w:rStyle w:val="17"/>
          <w:rFonts w:hint="eastAsia" w:ascii="宋体" w:hAnsi="宋体" w:eastAsia="宋体" w:cs="宋体"/>
          <w:sz w:val="28"/>
          <w:szCs w:val="28"/>
          <w:lang w:val="en-US" w:eastAsia="zh-CN"/>
        </w:rPr>
      </w:pPr>
    </w:p>
    <w:p w14:paraId="06F9EEE6">
      <w:pPr>
        <w:jc w:val="left"/>
        <w:rPr>
          <w:rStyle w:val="17"/>
          <w:rFonts w:hint="eastAsia" w:ascii="宋体" w:hAnsi="宋体" w:eastAsia="宋体" w:cs="宋体"/>
          <w:sz w:val="28"/>
          <w:szCs w:val="28"/>
          <w:lang w:val="en-US" w:eastAsia="zh-CN"/>
        </w:rPr>
      </w:pPr>
    </w:p>
    <w:p w14:paraId="547B6927">
      <w:pPr>
        <w:jc w:val="left"/>
        <w:rPr>
          <w:rStyle w:val="17"/>
          <w:rFonts w:hint="eastAsia" w:ascii="宋体" w:hAnsi="宋体" w:eastAsia="宋体" w:cs="宋体"/>
          <w:sz w:val="28"/>
          <w:szCs w:val="28"/>
          <w:lang w:val="en-US" w:eastAsia="zh-CN"/>
        </w:rPr>
      </w:pPr>
    </w:p>
    <w:p w14:paraId="7157CBB3">
      <w:pPr>
        <w:jc w:val="left"/>
        <w:rPr>
          <w:rStyle w:val="17"/>
          <w:rFonts w:hint="eastAsia" w:ascii="宋体" w:hAnsi="宋体" w:eastAsia="宋体" w:cs="宋体"/>
          <w:sz w:val="28"/>
          <w:szCs w:val="28"/>
          <w:lang w:val="en-US" w:eastAsia="zh-CN"/>
        </w:rPr>
      </w:pPr>
    </w:p>
    <w:p w14:paraId="69E48AB4">
      <w:pPr>
        <w:jc w:val="left"/>
        <w:rPr>
          <w:rFonts w:hint="eastAsia" w:ascii="宋体" w:hAnsi="宋体" w:eastAsia="宋体" w:cs="宋体"/>
          <w:b w:val="0"/>
          <w:bCs w:val="0"/>
          <w:sz w:val="24"/>
          <w:szCs w:val="24"/>
          <w:lang w:val="en-US" w:eastAsia="zh-CN"/>
        </w:rPr>
      </w:pPr>
      <w:r>
        <w:rPr>
          <w:rStyle w:val="17"/>
          <w:rFonts w:hint="eastAsia" w:ascii="宋体" w:hAnsi="宋体" w:eastAsia="宋体" w:cs="宋体"/>
          <w:sz w:val="28"/>
          <w:szCs w:val="28"/>
          <w:lang w:val="en-US" w:eastAsia="zh-CN"/>
        </w:rPr>
        <w:t>三、密码与数字经济融合应用</w:t>
      </w:r>
      <w:r>
        <w:rPr>
          <w:rStyle w:val="17"/>
          <w:rFonts w:hint="eastAsia" w:ascii="宋体" w:hAnsi="宋体" w:eastAsia="宋体" w:cs="宋体"/>
          <w:sz w:val="28"/>
          <w:szCs w:val="28"/>
          <w:lang w:val="en-US" w:eastAsia="zh-CN"/>
        </w:rPr>
        <w:br w:type="textWrapping"/>
      </w:r>
      <w:bookmarkEnd w:id="7"/>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《国务院关于印发“十四五”数字经济发展规划的通知》</w:t>
      </w:r>
    </w:p>
    <w:p w14:paraId="0E15D517">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国发〔2021〕29号，成文日期为2021年12月12日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·提升网络安全应急处置能力，加强电信、金融、能源、交通运输、水利等重要行业领域关键信息基础设施网络安全防护能力，支持开展常态化安全风险评估，加强网络安全等级保护和密码应用安全性评估。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"http://www.gov.cn/zhengce/zhengceku/2022-01/12/content_5667817.htm"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http://www.gov.cn/zhengce/zhengceku/2022-01/12/content_5667817.htm</w:t>
      </w:r>
      <w:r>
        <w:rPr>
          <w:rFonts w:hint="eastAsia" w:ascii="宋体" w:hAnsi="宋体" w:eastAsia="宋体" w:cs="宋体"/>
          <w:b w:val="0"/>
          <w:bCs w:val="0"/>
          <w:sz w:val="24"/>
          <w:szCs w:val="24"/>
          <w:lang w:val="en-US" w:eastAsia="zh-CN"/>
        </w:rPr>
        <w:fldChar w:fldCharType="end"/>
      </w:r>
    </w:p>
    <w:p w14:paraId="26AF7677">
      <w:pPr>
        <w:pStyle w:val="11"/>
        <w:keepNext w:val="0"/>
        <w:keepLines w:val="0"/>
        <w:widowControl/>
        <w:suppressLineNumbers w:val="0"/>
        <w:spacing w:before="0" w:beforeAutospacing="0" w:after="0" w:afterAutospacing="0"/>
        <w:ind w:left="0" w:right="0" w:firstLine="0"/>
        <w:rPr>
          <w:rStyle w:val="16"/>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bookmarkStart w:id="8" w:name="_Toc31891"/>
      <w:r>
        <w:rPr>
          <w:rStyle w:val="18"/>
          <w:rFonts w:hint="eastAsia" w:ascii="宋体" w:hAnsi="宋体" w:eastAsia="宋体" w:cs="宋体"/>
          <w:sz w:val="24"/>
          <w:szCs w:val="24"/>
          <w:lang w:val="en-US" w:eastAsia="zh-CN"/>
        </w:rPr>
        <w:t>（一）现代农业密码应用</w:t>
      </w:r>
      <w:r>
        <w:rPr>
          <w:rStyle w:val="18"/>
          <w:rFonts w:hint="eastAsia" w:ascii="宋体" w:hAnsi="宋体" w:eastAsia="宋体" w:cs="宋体"/>
          <w:sz w:val="24"/>
          <w:szCs w:val="24"/>
          <w:lang w:val="en-US" w:eastAsia="zh-CN"/>
        </w:rPr>
        <w:br w:type="textWrapping"/>
      </w:r>
      <w:bookmarkEnd w:id="8"/>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《农业农村部关于印发＜“十四五”全国农业农村信息化发展规划＞的通知》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农市发〔2022</w:t>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2"/>
          <w:sz w:val="24"/>
          <w:szCs w:val="24"/>
          <w:lang w:val="en-US" w:eastAsia="zh-CN" w:bidi="ar-SA"/>
        </w:rPr>
        <w:t>4号，成文日期为2022年2月22日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安全可控，有序推进。坚持发展和安全并重，强化网络安全和数据安全保障能力，守住安全底线，全面提升发展的持续性和稳定性。坚持数量服从质量、进度服从实效、求好不求快，科学规划、试点先行，因地制宜推进农业农村信息化建设。</w:t>
      </w:r>
      <w:r>
        <w:rPr>
          <w:rFonts w:hint="eastAsia" w:ascii="宋体" w:hAnsi="宋体" w:eastAsia="宋体" w:cs="宋体"/>
          <w:b w:val="0"/>
          <w:bCs w:val="0"/>
          <w:sz w:val="24"/>
          <w:szCs w:val="24"/>
          <w:lang w:val="en-US" w:eastAsia="zh-CN"/>
        </w:rPr>
        <w:br w:type="textWrapping"/>
      </w:r>
      <w:r>
        <w:rPr>
          <w:rStyle w:val="16"/>
          <w:rFonts w:hint="eastAsia" w:ascii="宋体" w:hAnsi="宋体" w:eastAsia="宋体" w:cs="宋体"/>
          <w:b w:val="0"/>
          <w:bCs w:val="0"/>
          <w:kern w:val="2"/>
          <w:sz w:val="24"/>
          <w:szCs w:val="24"/>
          <w:lang w:val="en-US" w:eastAsia="zh-CN" w:bidi="ar-SA"/>
        </w:rPr>
        <w:fldChar w:fldCharType="begin"/>
      </w:r>
      <w:r>
        <w:rPr>
          <w:rStyle w:val="16"/>
          <w:rFonts w:hint="eastAsia" w:ascii="宋体" w:hAnsi="宋体" w:eastAsia="宋体" w:cs="宋体"/>
          <w:b w:val="0"/>
          <w:bCs w:val="0"/>
          <w:kern w:val="2"/>
          <w:sz w:val="24"/>
          <w:szCs w:val="24"/>
          <w:lang w:val="en-US" w:eastAsia="zh-CN" w:bidi="ar-SA"/>
        </w:rPr>
        <w:instrText xml:space="preserve"> HYPERLINK "http://www.moa.gov.cn/nybgb/2022/202204/202206/t20220607_6401745.htm" </w:instrText>
      </w:r>
      <w:r>
        <w:rPr>
          <w:rStyle w:val="16"/>
          <w:rFonts w:hint="eastAsia" w:ascii="宋体" w:hAnsi="宋体" w:eastAsia="宋体" w:cs="宋体"/>
          <w:b w:val="0"/>
          <w:bCs w:val="0"/>
          <w:kern w:val="2"/>
          <w:sz w:val="24"/>
          <w:szCs w:val="24"/>
          <w:lang w:val="en-US" w:eastAsia="zh-CN" w:bidi="ar-SA"/>
        </w:rPr>
        <w:fldChar w:fldCharType="separate"/>
      </w:r>
      <w:r>
        <w:rPr>
          <w:rStyle w:val="15"/>
          <w:rFonts w:hint="eastAsia" w:ascii="宋体" w:hAnsi="宋体" w:eastAsia="宋体" w:cs="宋体"/>
          <w:b w:val="0"/>
          <w:bCs w:val="0"/>
          <w:kern w:val="2"/>
          <w:sz w:val="24"/>
          <w:szCs w:val="24"/>
          <w:lang w:val="en-US" w:eastAsia="zh-CN" w:bidi="ar-SA"/>
        </w:rPr>
        <w:t>http://www.moa.gov.cn/nybgb/2022/202204/202206/t20220607_6401745.htm</w:t>
      </w:r>
      <w:r>
        <w:rPr>
          <w:rStyle w:val="16"/>
          <w:rFonts w:hint="eastAsia" w:ascii="宋体" w:hAnsi="宋体" w:eastAsia="宋体" w:cs="宋体"/>
          <w:b w:val="0"/>
          <w:bCs w:val="0"/>
          <w:kern w:val="2"/>
          <w:sz w:val="24"/>
          <w:szCs w:val="24"/>
          <w:lang w:val="en-US" w:eastAsia="zh-CN" w:bidi="ar-SA"/>
        </w:rPr>
        <w:fldChar w:fldCharType="end"/>
      </w:r>
    </w:p>
    <w:p w14:paraId="0B5E429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bookmarkStart w:id="9" w:name="_Toc28771"/>
      <w:r>
        <w:rPr>
          <w:rStyle w:val="18"/>
          <w:rFonts w:hint="eastAsia" w:ascii="宋体" w:hAnsi="宋体" w:eastAsia="宋体" w:cs="宋体"/>
          <w:sz w:val="24"/>
          <w:szCs w:val="24"/>
          <w:lang w:val="en-US" w:eastAsia="zh-CN"/>
        </w:rPr>
        <w:t>（二）先进制造业密码应用</w:t>
      </w:r>
      <w:r>
        <w:rPr>
          <w:rStyle w:val="18"/>
          <w:rFonts w:hint="eastAsia" w:ascii="宋体" w:hAnsi="宋体" w:eastAsia="宋体" w:cs="宋体"/>
          <w:sz w:val="24"/>
          <w:szCs w:val="24"/>
          <w:lang w:val="en-US" w:eastAsia="zh-CN"/>
        </w:rPr>
        <w:br w:type="textWrapping"/>
      </w:r>
      <w:bookmarkEnd w:id="9"/>
    </w:p>
    <w:p w14:paraId="067FDAD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《工业和信息化部关于印发工业控制系统网络安全防护指南的通知》</w:t>
      </w:r>
    </w:p>
    <w:p w14:paraId="4937719B">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工信部网安〔2024〕14号，</w:t>
      </w:r>
      <w:r>
        <w:rPr>
          <w:rFonts w:hint="eastAsia" w:ascii="宋体" w:hAnsi="宋体" w:eastAsia="宋体" w:cs="宋体"/>
          <w:b w:val="0"/>
          <w:bCs w:val="0"/>
          <w:kern w:val="2"/>
          <w:sz w:val="24"/>
          <w:szCs w:val="24"/>
          <w:lang w:val="en-US" w:eastAsia="zh-CN" w:bidi="ar-SA"/>
        </w:rPr>
        <w:t>成文日期为</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t>2024年1月19日</w:t>
      </w:r>
    </w:p>
    <w:p w14:paraId="2B561F85">
      <w:pPr>
        <w:pStyle w:val="11"/>
        <w:keepNext w:val="0"/>
        <w:keepLines w:val="0"/>
        <w:widowControl/>
        <w:suppressLineNumbers w:val="0"/>
        <w:spacing w:before="0" w:beforeAutospacing="0" w:after="0" w:afterAutospacing="0"/>
        <w:ind w:left="0" w:right="0" w:firstLine="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kern w:val="2"/>
          <w:sz w:val="24"/>
          <w:szCs w:val="24"/>
          <w:lang w:val="en-US" w:eastAsia="zh-CN" w:bidi="ar-SA"/>
        </w:rPr>
        <w:t>　　·</w:t>
      </w:r>
      <w:r>
        <w:rPr>
          <w:rFonts w:hint="eastAsia" w:ascii="宋体" w:hAnsi="宋体" w:eastAsia="宋体" w:cs="宋体"/>
          <w:i w:val="0"/>
          <w:iCs w:val="0"/>
          <w:caps w:val="0"/>
          <w:color w:val="333333"/>
          <w:spacing w:val="0"/>
          <w:sz w:val="24"/>
          <w:szCs w:val="24"/>
          <w:shd w:val="clear" w:fill="FFFFFF"/>
        </w:rPr>
        <w:t>在工业控制系统中使用加密协议和算法时应符合相关法律法规要求，鼓励优先采用商用密码，实现加密网络通信、设备身份认证和数据安全传输。</w:t>
      </w:r>
    </w:p>
    <w:p w14:paraId="58A50541">
      <w:pPr>
        <w:pStyle w:val="11"/>
        <w:keepNext w:val="0"/>
        <w:keepLines w:val="0"/>
        <w:widowControl/>
        <w:suppressLineNumbers w:val="0"/>
        <w:spacing w:before="0" w:beforeAutospacing="0" w:after="0" w:afterAutospacing="0"/>
        <w:ind w:left="0" w:right="0" w:firstLine="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val="0"/>
          <w:bCs w:val="0"/>
          <w:kern w:val="2"/>
          <w:sz w:val="24"/>
          <w:szCs w:val="24"/>
          <w:lang w:val="en-US" w:eastAsia="zh-CN" w:bidi="ar-SA"/>
        </w:rPr>
        <w:t>　　·</w:t>
      </w:r>
      <w:r>
        <w:rPr>
          <w:rFonts w:hint="eastAsia" w:ascii="宋体" w:hAnsi="宋体" w:eastAsia="宋体" w:cs="宋体"/>
          <w:i w:val="0"/>
          <w:iCs w:val="0"/>
          <w:caps w:val="0"/>
          <w:color w:val="333333"/>
          <w:spacing w:val="0"/>
          <w:sz w:val="24"/>
          <w:szCs w:val="24"/>
          <w:shd w:val="clear" w:fill="FFFFFF"/>
        </w:rPr>
        <w:t>定期梳理工业控制系统运行产生的数据，结合业务实际，开展数据分类分级，识别重要数据和核心数据并形成目录。围绕数据收集、存储、使用、加工、传输、提供、公开等环节，使用密码技术、访问控制、容灾备份等技术对数据实施安全保护。</w:t>
      </w:r>
    </w:p>
    <w:p w14:paraId="0D22E1C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fldChar w:fldCharType="begin"/>
      </w:r>
      <w:r>
        <w:rPr>
          <w:rFonts w:hint="eastAsia" w:ascii="宋体" w:hAnsi="宋体" w:eastAsia="宋体" w:cs="宋体"/>
          <w:b w:val="0"/>
          <w:bCs w:val="0"/>
          <w:sz w:val="24"/>
          <w:szCs w:val="24"/>
          <w:shd w:val="clear" w:color="auto" w:fill="auto"/>
          <w:lang w:val="en-US" w:eastAsia="zh-CN"/>
        </w:rPr>
        <w:instrText xml:space="preserve"> HYPERLINK "https://www.gov.cn/zhengce/zhengceku/202402/content_6929643.htm" </w:instrText>
      </w:r>
      <w:r>
        <w:rPr>
          <w:rFonts w:hint="eastAsia" w:ascii="宋体" w:hAnsi="宋体" w:eastAsia="宋体" w:cs="宋体"/>
          <w:b w:val="0"/>
          <w:bCs w:val="0"/>
          <w:sz w:val="24"/>
          <w:szCs w:val="24"/>
          <w:shd w:val="clear" w:color="auto" w:fill="auto"/>
          <w:lang w:val="en-US" w:eastAsia="zh-CN"/>
        </w:rPr>
        <w:fldChar w:fldCharType="separate"/>
      </w:r>
      <w:r>
        <w:rPr>
          <w:rStyle w:val="16"/>
          <w:rFonts w:hint="eastAsia" w:ascii="宋体" w:hAnsi="宋体" w:eastAsia="宋体" w:cs="宋体"/>
          <w:b w:val="0"/>
          <w:bCs w:val="0"/>
          <w:sz w:val="24"/>
          <w:szCs w:val="24"/>
          <w:shd w:val="clear" w:color="auto" w:fill="auto"/>
          <w:lang w:val="en-US" w:eastAsia="zh-CN"/>
        </w:rPr>
        <w:t>https://www.gov.cn/zhengce/zhengceku/202402/content_6929643.htm</w:t>
      </w:r>
      <w:r>
        <w:rPr>
          <w:rFonts w:hint="eastAsia" w:ascii="宋体" w:hAnsi="宋体" w:eastAsia="宋体" w:cs="宋体"/>
          <w:b w:val="0"/>
          <w:bCs w:val="0"/>
          <w:sz w:val="24"/>
          <w:szCs w:val="24"/>
          <w:shd w:val="clear" w:color="auto" w:fill="auto"/>
          <w:lang w:val="en-US" w:eastAsia="zh-CN"/>
        </w:rPr>
        <w:fldChar w:fldCharType="end"/>
      </w:r>
    </w:p>
    <w:p w14:paraId="113A4EF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FFFFFF" w:fill="D9D9D9"/>
          <w:lang w:val="en-US" w:eastAsia="zh-CN"/>
        </w:rPr>
      </w:pPr>
    </w:p>
    <w:p w14:paraId="080D4984">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FFFFFF" w:fill="D9D9D9"/>
          <w:lang w:val="en-US" w:eastAsia="zh-CN"/>
        </w:rPr>
      </w:pPr>
    </w:p>
    <w:p w14:paraId="6A995158">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《工业和信息化部 国家发展和改革委员会 生态环境部关于促进钢铁工业高质量发展的指导意见》</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工信部联原〔2022〕6号，成文日期为2022年1月20日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·大力发展智能制造。开展钢铁行业智能制造行动计划，推进5G、工业互联网、人工智能、商用密码、数字孪生等技术在钢铁行业的应用。</w:t>
      </w:r>
    </w:p>
    <w:p w14:paraId="6F57D5E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　　·落实网络安全主体责任，大力提高商用密码应用安全，提升工业控制系统安全防护水平，制定应急响应预案，积极应对新兴技术融合带来的安全挑战。</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"http://www.gov.cn/zhengce/zhengceku/2022-02/08/content_5672513.htm"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http://www.gov.cn/zhengce/zhengceku/2022-02/08/content_5672513.htm</w:t>
      </w:r>
      <w:r>
        <w:rPr>
          <w:rFonts w:hint="eastAsia" w:ascii="宋体" w:hAnsi="宋体" w:eastAsia="宋体" w:cs="宋体"/>
          <w:b w:val="0"/>
          <w:bCs w:val="0"/>
          <w:sz w:val="24"/>
          <w:szCs w:val="24"/>
          <w:lang w:val="en-US" w:eastAsia="zh-CN"/>
        </w:rPr>
        <w:fldChar w:fldCharType="end"/>
      </w:r>
    </w:p>
    <w:p w14:paraId="4CE67B90">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科技部 自然资源部关于印发“十四五”原材料工业发展规划的通知》</w:t>
      </w:r>
    </w:p>
    <w:p w14:paraId="50485C4E">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工信部联规〔2021〕212号，成文日期为2021年12月21日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·深化实施原材料生产企业工业互联网网络安全分类分级管理，推动商用密码技术应用，提升重点行业企业工业互联网安全防护能力。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"http://www.gov.cn/zhengce/zhengceku/2021-12/29/content_5665166.htm"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http://www.gov.cn/zhengce/zhengceku/2021-12/29/content_5665166.htm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6CCE4EC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国家发展和改革委员会 教育部 科技部 财政部 人力资源和社会保障部 国家市场监督管理总局 国务院国有资产监督管理委员会关于印发＜“十四五”智能制造发展规划＞的通知》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工信部联规〔2021〕207号，成文日期为2021年12月21日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·加强安全保障。加强智能制造安全风险研判，同步推进网 络安全、数据安全和功能安全，推动密码技术深入应用。实施 企业网络安全分类分级管理，督促企业落实网络安全主体责 13 任。完善国家、地方、企业多级工控信息安全监测预警网络， 加快建设工业互联网安全技术监测服务体系。</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"http://www.gov.cn/zhengce/zhengceku/2021-12/28/content_5664996.htm"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http://www.gov.cn/zhengce/zhengceku/2021-12/28/content_5664996.htm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p>
    <w:p w14:paraId="0953510F">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《工业和信息化部关于发布“十四五”民用爆炸物品行业安全发展规划的通知》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工信部规〔2021〕183号，成文日期为2021年11月15日</w:t>
      </w:r>
    </w:p>
    <w:p w14:paraId="5D19FA55">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·探索建立民爆行业智能制造标准体系，与民爆产品、安全等标准优化协同，形成面向 智能制造典型应用场景的标准群，在行业内开展应用试点。协同推进网络安全、信息安全和功能安全，加强商用密码在数字化智能化生产、仓储、运输体系中的应用，充分发挥基础保障作用。</w:t>
      </w:r>
    </w:p>
    <w:p w14:paraId="18F44FF3">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"http://www.gov.cn/zhengce/zhengceku/2021-12/04/content_5655830.htm"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http://www.gov.cn/zhengce/zhengceku/2021-12/04/content_5655830.htm</w:t>
      </w:r>
      <w:r>
        <w:rPr>
          <w:rFonts w:hint="eastAsia" w:ascii="宋体" w:hAnsi="宋体" w:eastAsia="宋体" w:cs="宋体"/>
          <w:b w:val="0"/>
          <w:bCs w:val="0"/>
          <w:sz w:val="24"/>
          <w:szCs w:val="24"/>
          <w:lang w:val="en-US" w:eastAsia="zh-CN"/>
        </w:rPr>
        <w:fldChar w:fldCharType="end"/>
      </w:r>
    </w:p>
    <w:p w14:paraId="7B5BAD7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《国务院办公厅关于印发新能源汽车产业发展规划（2021—2035年）的通知》</w:t>
      </w:r>
    </w:p>
    <w:p w14:paraId="3CE162D5">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国办发〔2020〕39号，成文日期为2020年10月20日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打造网络安全保障体系。健全新能源汽车网络安全管理制度，构建统一的汽车身份认证和安全信任体系，推动密码技术深入应用，加强车载信息系统、服务平台及关键电子零部件安全检测，强化新能源汽车数据分级分类和合规应用管理，完善风险评估、预警监测、应急响应机制，保障“车端—传输管网—云端”各环节信息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"http://www.gov.cn/zhengce/zhengceku/2020-11/02/content_5556716.htm"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http://www.gov.cn/zhengce/zhengceku/2020-11/02/content_5556716.htm</w:t>
      </w:r>
      <w:r>
        <w:rPr>
          <w:rFonts w:hint="eastAsia" w:ascii="宋体" w:hAnsi="宋体" w:eastAsia="宋体" w:cs="宋体"/>
          <w:b w:val="0"/>
          <w:bCs w:val="0"/>
          <w:sz w:val="24"/>
          <w:szCs w:val="24"/>
          <w:lang w:val="en-US" w:eastAsia="zh-CN"/>
        </w:rPr>
        <w:fldChar w:fldCharType="end"/>
      </w:r>
    </w:p>
    <w:p w14:paraId="667D602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《工业和信息化部办公厅关于印发＜建材工业智能制造数字转型行动计划（2021-2023年）＞的通知》</w:t>
      </w:r>
    </w:p>
    <w:p w14:paraId="426149E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工信厅原〔2020〕39号,成文日期为2020年9月16日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构建网络、平台、安全三大功能体系，鼓励企业积极探索“5G+工业互联网”，促进工业互联网与建材工业深度融合。推动建材行业工业互联网标识解析二级节点建设，深化标识解析应用。大力发展建材行业工业互联网创新应用平台，加快开发建材工业APP，推动建材企业和设备上云上平台，实现制造资源和制造能力互联互通。构建工业互联网密码支撑体系，加快商用密码在建材行业深度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"http://www.gov.cn/zhengce/zhengceku/2020-09/21/content_5545222.htm"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http://www.gov.cn/zhengce/zhengceku/2020-09/21/content_5545222.htm</w:t>
      </w:r>
      <w:r>
        <w:rPr>
          <w:rFonts w:hint="eastAsia" w:ascii="宋体" w:hAnsi="宋体" w:eastAsia="宋体" w:cs="宋体"/>
          <w:b w:val="0"/>
          <w:bCs w:val="0"/>
          <w:sz w:val="24"/>
          <w:szCs w:val="24"/>
          <w:lang w:val="en-US" w:eastAsia="zh-CN"/>
        </w:rPr>
        <w:fldChar w:fldCharType="end"/>
      </w:r>
    </w:p>
    <w:p w14:paraId="16B760A8">
      <w:pPr>
        <w:numPr>
          <w:ilvl w:val="0"/>
          <w:numId w:val="0"/>
        </w:numPr>
        <w:jc w:val="left"/>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auto" w:fill="auto"/>
          <w:lang w:val="en-US" w:eastAsia="zh-CN"/>
        </w:rPr>
        <w:t>《工业和信息化部关于工业大数据发展的指导意见》</w:t>
      </w:r>
    </w:p>
    <w:p w14:paraId="01D50D25">
      <w:pPr>
        <w:numPr>
          <w:ilvl w:val="0"/>
          <w:numId w:val="0"/>
        </w:numPr>
        <w:ind w:left="480" w:hanging="480" w:hangingChars="20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sz w:val="24"/>
          <w:szCs w:val="24"/>
          <w:lang w:val="en-US" w:eastAsia="zh-CN"/>
        </w:rPr>
        <w:t>工信部信发〔2020〕67号，成文日期为</w:t>
      </w:r>
      <w:r>
        <w:rPr>
          <w:rFonts w:hint="eastAsia" w:ascii="宋体" w:hAnsi="宋体" w:eastAsia="宋体" w:cs="宋体"/>
          <w:i w:val="0"/>
          <w:iCs w:val="0"/>
          <w:caps w:val="0"/>
          <w:color w:val="333333"/>
          <w:spacing w:val="0"/>
          <w:sz w:val="24"/>
          <w:szCs w:val="24"/>
          <w:shd w:val="clear" w:fill="FFFFFF"/>
        </w:rPr>
        <w:t>2020年4月28日</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六、强化数据安全</w:t>
      </w:r>
    </w:p>
    <w:p w14:paraId="6204884E">
      <w:pPr>
        <w:numPr>
          <w:ilvl w:val="0"/>
          <w:numId w:val="0"/>
        </w:numPr>
        <w:ind w:firstLine="480" w:firstLineChars="200"/>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十五</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加强工业数据安全产品研发。开展加密传输、访问控制、数据脱敏等安全技术攻关，提升防篡改、防窃取、防泄漏能力。加快培育安全骨干企业，增强数据安全服务，培育良好安全产业生态。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"https://www.gov.cn/gongbao/content/2020/content_5530364.htm"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https://www.gov.cn/gongbao/content/2020/content_5530364.htm</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b w:val="0"/>
          <w:bCs w:val="0"/>
          <w:sz w:val="24"/>
          <w:szCs w:val="24"/>
          <w:lang w:val="en-US" w:eastAsia="zh-CN"/>
        </w:rPr>
        <w:br w:type="textWrapping"/>
      </w:r>
    </w:p>
    <w:p w14:paraId="788F7A8D">
      <w:pPr>
        <w:jc w:val="left"/>
        <w:rPr>
          <w:rFonts w:hint="eastAsia" w:ascii="宋体" w:hAnsi="宋体" w:eastAsia="宋体" w:cs="宋体"/>
          <w:b w:val="0"/>
          <w:bCs w:val="0"/>
          <w:sz w:val="24"/>
          <w:szCs w:val="24"/>
          <w:lang w:val="en-US" w:eastAsia="zh-CN"/>
        </w:rPr>
      </w:pPr>
      <w:bookmarkStart w:id="10" w:name="_Toc17564"/>
      <w:r>
        <w:rPr>
          <w:rStyle w:val="18"/>
          <w:rFonts w:hint="eastAsia" w:ascii="宋体" w:hAnsi="宋体" w:eastAsia="宋体" w:cs="宋体"/>
          <w:sz w:val="24"/>
          <w:szCs w:val="24"/>
          <w:lang w:val="en-US" w:eastAsia="zh-CN"/>
        </w:rPr>
        <w:t>（三）现代服务业及新兴产业密码应用</w:t>
      </w:r>
      <w:r>
        <w:rPr>
          <w:rStyle w:val="18"/>
          <w:rFonts w:hint="eastAsia" w:ascii="宋体" w:hAnsi="宋体" w:eastAsia="宋体" w:cs="宋体"/>
          <w:sz w:val="24"/>
          <w:szCs w:val="24"/>
          <w:lang w:val="en-US" w:eastAsia="zh-CN"/>
        </w:rPr>
        <w:br w:type="textWrapping"/>
      </w:r>
      <w:bookmarkEnd w:id="10"/>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《财政部关于印发＜会计软件基本功能和服务规范＞的通知》</w:t>
      </w:r>
    </w:p>
    <w:p w14:paraId="0E8FE90C">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财会〔2024〕12号，</w:t>
      </w:r>
      <w:r>
        <w:rPr>
          <w:rFonts w:hint="eastAsia" w:ascii="宋体" w:hAnsi="宋体" w:eastAsia="宋体" w:cs="宋体"/>
          <w:i w:val="0"/>
          <w:iCs w:val="0"/>
          <w:caps w:val="0"/>
          <w:color w:val="333333"/>
          <w:spacing w:val="0"/>
          <w:sz w:val="24"/>
          <w:szCs w:val="24"/>
          <w:shd w:val="clear" w:fill="FFFFFF"/>
        </w:rPr>
        <w:t>自2025年1月1日起施行</w:t>
      </w:r>
      <w:r>
        <w:rPr>
          <w:rFonts w:hint="eastAsia" w:ascii="宋体" w:hAnsi="宋体" w:eastAsia="宋体" w:cs="宋体"/>
          <w:b w:val="0"/>
          <w:bCs w:val="0"/>
          <w:sz w:val="24"/>
          <w:szCs w:val="24"/>
          <w:lang w:val="en-US" w:eastAsia="zh-CN"/>
        </w:rPr>
        <w:t>  </w:t>
      </w:r>
    </w:p>
    <w:p w14:paraId="2B7D6FAA">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第三十七条　会计软件采用密码技术的，应当遵循国家密码主管部门的有关规定。</w:t>
      </w:r>
    </w:p>
    <w:p w14:paraId="306D7B56">
      <w:pPr>
        <w:jc w:val="left"/>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fldChar w:fldCharType="begin"/>
      </w:r>
      <w:r>
        <w:rPr>
          <w:rFonts w:hint="eastAsia" w:ascii="宋体" w:hAnsi="宋体" w:eastAsia="宋体" w:cs="宋体"/>
          <w:b w:val="0"/>
          <w:bCs w:val="0"/>
          <w:sz w:val="24"/>
          <w:szCs w:val="24"/>
          <w:shd w:val="clear" w:color="auto" w:fill="auto"/>
          <w:lang w:val="en-US" w:eastAsia="zh-CN"/>
        </w:rPr>
        <w:instrText xml:space="preserve"> HYPERLINK "https://www.gov.cn/gongbao/2024/issue_11606/202409/content_6976924.html" </w:instrText>
      </w:r>
      <w:r>
        <w:rPr>
          <w:rFonts w:hint="eastAsia" w:ascii="宋体" w:hAnsi="宋体" w:eastAsia="宋体" w:cs="宋体"/>
          <w:b w:val="0"/>
          <w:bCs w:val="0"/>
          <w:sz w:val="24"/>
          <w:szCs w:val="24"/>
          <w:shd w:val="clear" w:color="auto" w:fill="auto"/>
          <w:lang w:val="en-US" w:eastAsia="zh-CN"/>
        </w:rPr>
        <w:fldChar w:fldCharType="separate"/>
      </w:r>
      <w:r>
        <w:rPr>
          <w:rStyle w:val="15"/>
          <w:rFonts w:hint="eastAsia" w:ascii="宋体" w:hAnsi="宋体" w:eastAsia="宋体" w:cs="宋体"/>
          <w:b w:val="0"/>
          <w:bCs w:val="0"/>
          <w:sz w:val="24"/>
          <w:szCs w:val="24"/>
          <w:shd w:val="clear" w:color="auto" w:fill="auto"/>
          <w:lang w:val="en-US" w:eastAsia="zh-CN"/>
        </w:rPr>
        <w:t>https://www.gov.cn/gongbao/2024/issue_11606/202409/content_6976924.html</w:t>
      </w:r>
      <w:r>
        <w:rPr>
          <w:rFonts w:hint="eastAsia" w:ascii="宋体" w:hAnsi="宋体" w:eastAsia="宋体" w:cs="宋体"/>
          <w:b w:val="0"/>
          <w:bCs w:val="0"/>
          <w:sz w:val="24"/>
          <w:szCs w:val="24"/>
          <w:shd w:val="clear" w:color="auto" w:fill="auto"/>
          <w:lang w:val="en-US" w:eastAsia="zh-CN"/>
        </w:rPr>
        <w:fldChar w:fldCharType="end"/>
      </w:r>
    </w:p>
    <w:p w14:paraId="5BA4658F">
      <w:pPr>
        <w:jc w:val="left"/>
        <w:rPr>
          <w:rFonts w:hint="eastAsia" w:ascii="宋体" w:hAnsi="宋体" w:eastAsia="宋体" w:cs="宋体"/>
          <w:b w:val="0"/>
          <w:bCs w:val="0"/>
          <w:sz w:val="24"/>
          <w:szCs w:val="24"/>
          <w:shd w:val="clear" w:color="FFFFFF" w:fill="D9D9D9"/>
          <w:lang w:val="en-US" w:eastAsia="zh-CN"/>
        </w:rPr>
      </w:pPr>
    </w:p>
    <w:p w14:paraId="49CCE97B">
      <w:pPr>
        <w:jc w:val="left"/>
        <w:rPr>
          <w:rFonts w:hint="eastAsia" w:ascii="宋体" w:hAnsi="宋体" w:eastAsia="宋体" w:cs="宋体"/>
          <w:b w:val="0"/>
          <w:bCs w:val="0"/>
          <w:sz w:val="24"/>
          <w:szCs w:val="24"/>
          <w:shd w:val="clear" w:color="FFFFFF" w:fill="D9D9D9"/>
          <w:lang w:val="en-US" w:eastAsia="zh-CN"/>
        </w:rPr>
      </w:pPr>
    </w:p>
    <w:p w14:paraId="60D57A46">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《财政部关于印发＜会计信息化工作规范＞的通知》</w:t>
      </w:r>
    </w:p>
    <w:p w14:paraId="799A78D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财会〔2024〕11号，</w:t>
      </w:r>
      <w:r>
        <w:rPr>
          <w:rFonts w:hint="eastAsia" w:ascii="宋体" w:hAnsi="宋体" w:eastAsia="宋体" w:cs="宋体"/>
          <w:i w:val="0"/>
          <w:iCs w:val="0"/>
          <w:caps w:val="0"/>
          <w:color w:val="333333"/>
          <w:spacing w:val="0"/>
          <w:sz w:val="24"/>
          <w:szCs w:val="24"/>
          <w:shd w:val="clear" w:fill="FFFFFF"/>
        </w:rPr>
        <w:t>自2025年1月1日起施行</w:t>
      </w:r>
    </w:p>
    <w:p w14:paraId="25F3455B">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第三十八条　单位应当加强会计数据安全风险防范，采取数据加密传输技术等有效措施，保证会计数据处理与应用的安全合规，避免会计数据在生成、传输、处理、存储等环节的泄露、篡改及损毁风险。</w:t>
      </w:r>
    </w:p>
    <w:p w14:paraId="542B76AB">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单位应当对电子会计资料进行备份，规定备份信息的备份方式、备份频率、存储介质、保存期等，确保会计资料的安全、完整和可用。</w:t>
      </w:r>
    </w:p>
    <w:p w14:paraId="76BC186C">
      <w:pPr>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鼓励单位结合内部数据管理要求建立会计数据安全分类分级管理体系，加强对重要数据和核心数据的保护。</w:t>
      </w:r>
    </w:p>
    <w:p w14:paraId="61BF1EDD">
      <w:pPr>
        <w:jc w:val="left"/>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fldChar w:fldCharType="begin"/>
      </w:r>
      <w:r>
        <w:rPr>
          <w:rFonts w:hint="eastAsia" w:ascii="宋体" w:hAnsi="宋体" w:eastAsia="宋体" w:cs="宋体"/>
          <w:b w:val="0"/>
          <w:bCs w:val="0"/>
          <w:sz w:val="24"/>
          <w:szCs w:val="24"/>
          <w:shd w:val="clear" w:color="auto" w:fill="auto"/>
          <w:lang w:val="en-US" w:eastAsia="zh-CN"/>
        </w:rPr>
        <w:instrText xml:space="preserve"> HYPERLINK "https://www.gov.cn/gongbao/2024/issue_11586/202409/content_6975086.html" </w:instrText>
      </w:r>
      <w:r>
        <w:rPr>
          <w:rFonts w:hint="eastAsia" w:ascii="宋体" w:hAnsi="宋体" w:eastAsia="宋体" w:cs="宋体"/>
          <w:b w:val="0"/>
          <w:bCs w:val="0"/>
          <w:sz w:val="24"/>
          <w:szCs w:val="24"/>
          <w:shd w:val="clear" w:color="auto" w:fill="auto"/>
          <w:lang w:val="en-US" w:eastAsia="zh-CN"/>
        </w:rPr>
        <w:fldChar w:fldCharType="separate"/>
      </w:r>
      <w:r>
        <w:rPr>
          <w:rStyle w:val="16"/>
          <w:rFonts w:hint="eastAsia" w:ascii="宋体" w:hAnsi="宋体" w:eastAsia="宋体" w:cs="宋体"/>
          <w:b w:val="0"/>
          <w:bCs w:val="0"/>
          <w:sz w:val="24"/>
          <w:szCs w:val="24"/>
          <w:shd w:val="clear" w:color="auto" w:fill="auto"/>
          <w:lang w:val="en-US" w:eastAsia="zh-CN"/>
        </w:rPr>
        <w:t>https://www.gov.cn/gongbao/2024/issue_11586/202409/content_6975086.html</w:t>
      </w:r>
      <w:r>
        <w:rPr>
          <w:rFonts w:hint="eastAsia" w:ascii="宋体" w:hAnsi="宋体" w:eastAsia="宋体" w:cs="宋体"/>
          <w:b w:val="0"/>
          <w:bCs w:val="0"/>
          <w:sz w:val="24"/>
          <w:szCs w:val="24"/>
          <w:shd w:val="clear" w:color="auto" w:fill="auto"/>
          <w:lang w:val="en-US" w:eastAsia="zh-CN"/>
        </w:rPr>
        <w:fldChar w:fldCharType="end"/>
      </w:r>
    </w:p>
    <w:p w14:paraId="222EF521">
      <w:pPr>
        <w:jc w:val="left"/>
        <w:rPr>
          <w:rFonts w:hint="eastAsia" w:ascii="宋体" w:hAnsi="宋体" w:eastAsia="宋体" w:cs="宋体"/>
          <w:b w:val="0"/>
          <w:bCs w:val="0"/>
          <w:sz w:val="24"/>
          <w:szCs w:val="24"/>
          <w:shd w:val="clear" w:color="FFFFFF" w:fill="D9D9D9"/>
          <w:lang w:val="en-US" w:eastAsia="zh-CN"/>
        </w:rPr>
      </w:pPr>
    </w:p>
    <w:p w14:paraId="411795EF">
      <w:pPr>
        <w:jc w:val="left"/>
        <w:rPr>
          <w:rFonts w:hint="eastAsia" w:ascii="宋体" w:hAnsi="宋体" w:eastAsia="宋体" w:cs="宋体"/>
          <w:b w:val="0"/>
          <w:bCs w:val="0"/>
          <w:sz w:val="24"/>
          <w:szCs w:val="24"/>
          <w:shd w:val="clear" w:color="FFFFFF" w:fill="D9D9D9"/>
          <w:lang w:val="en-US" w:eastAsia="zh-CN"/>
        </w:rPr>
      </w:pPr>
    </w:p>
    <w:p w14:paraId="2BCE1CD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《财政部 国家网信办关于印发＜会计师事务所数据安全管理暂行办法＞的通知》</w:t>
      </w:r>
    </w:p>
    <w:p w14:paraId="3D1B4E48">
      <w:pPr>
        <w:numPr>
          <w:ilvl w:val="0"/>
          <w:numId w:val="0"/>
        </w:numPr>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sz w:val="24"/>
          <w:szCs w:val="24"/>
          <w:lang w:val="en-US" w:eastAsia="zh-CN"/>
        </w:rPr>
        <w:t>财会〔2024〕6号，</w:t>
      </w:r>
      <w:r>
        <w:rPr>
          <w:rFonts w:hint="eastAsia" w:ascii="宋体" w:hAnsi="宋体" w:eastAsia="宋体" w:cs="宋体"/>
          <w:i w:val="0"/>
          <w:iCs w:val="0"/>
          <w:caps w:val="0"/>
          <w:color w:val="333333"/>
          <w:spacing w:val="0"/>
          <w:sz w:val="24"/>
          <w:szCs w:val="24"/>
          <w:shd w:val="clear" w:fill="FFFFFF"/>
        </w:rPr>
        <w:t>自2024年10月1日起施行</w:t>
      </w:r>
    </w:p>
    <w:p w14:paraId="1F956BF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14"/>
          <w:rFonts w:hint="eastAsia" w:ascii="宋体" w:hAnsi="宋体" w:eastAsia="宋体" w:cs="宋体"/>
          <w:b w:val="0"/>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会计师事务所应当明确数据传输操作规程。核心数据、重要数据传输过程中应当采用加密技术，保护传输安全。</w:t>
      </w:r>
    </w:p>
    <w:p w14:paraId="3879E16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14"/>
          <w:rFonts w:hint="eastAsia" w:ascii="宋体" w:hAnsi="宋体" w:eastAsia="宋体" w:cs="宋体"/>
          <w:b w:val="0"/>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审计工作底稿应当按照法律、行政法规和国家有关规定存储在境内。相关加密设备应当设置在境内并由境内团队负责运行维护，密钥应当存储在境内。</w:t>
      </w:r>
    </w:p>
    <w:p w14:paraId="5A8846FF">
      <w:pPr>
        <w:numPr>
          <w:ilvl w:val="0"/>
          <w:numId w:val="0"/>
        </w:numPr>
        <w:jc w:val="left"/>
        <w:rPr>
          <w:rFonts w:hint="eastAsia" w:ascii="宋体" w:hAnsi="宋体" w:eastAsia="宋体" w:cs="宋体"/>
          <w:b w:val="0"/>
          <w:bCs w:val="0"/>
          <w:kern w:val="2"/>
          <w:sz w:val="24"/>
          <w:szCs w:val="24"/>
          <w:lang w:val="en-US" w:eastAsia="zh-CN" w:bidi="ar-SA"/>
        </w:rPr>
      </w:pPr>
      <w:r>
        <w:rPr>
          <w:rStyle w:val="14"/>
          <w:rFonts w:hint="eastAsia" w:ascii="宋体" w:hAnsi="宋体" w:eastAsia="宋体" w:cs="宋体"/>
          <w:b w:val="0"/>
          <w:bCs/>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会计师事务所应当采用网络隔离、用户认证、访问控制、数据加密、病毒防范、非法入侵检测等技术手段，及时识别、阻断和溯源相关网络攻击和非法访问，保障数据安全。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"https://www.gov.cn/gongbao/2024/issue_11386/202406/content_6955750.html"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https://www.gov.cn/gongbao/2024/issue_11386/202406/content_6955750.html</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《中共中央办公厅 国务院办公厅关于数字贸易改革创新发展的意见》</w:t>
      </w:r>
    </w:p>
    <w:p w14:paraId="18896BB5">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成文日期为2024年8月17日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十七）加强知识产权保护。研究构建数据知识产权保护规则。加强对源代码、算法、加密密钥、商业秘密以及其他专有信息的法律保护。加快推动数字产品标识化。加强数字贸易领域知识产权公共服务。加强涉及数字贸易的商标注册和保护。拓宽知识产权海外维权和争议解决渠道。</w:t>
      </w:r>
    </w:p>
    <w:p w14:paraId="79727069">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"https://www.gov.cn/gongbao/2024/issue_11766/202412/content_6993326.html"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https://www.gov.cn/gongbao/2024/issue_11766/202412/content_6993326.html</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《快递市场管理办法》</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中华人民共和国交通运输部令2023年第22号，</w:t>
      </w:r>
      <w:r>
        <w:rPr>
          <w:rFonts w:hint="eastAsia" w:ascii="宋体" w:hAnsi="宋体" w:eastAsia="宋体" w:cs="宋体"/>
          <w:i w:val="0"/>
          <w:iCs w:val="0"/>
          <w:caps w:val="0"/>
          <w:color w:val="333333"/>
          <w:spacing w:val="0"/>
          <w:sz w:val="24"/>
          <w:szCs w:val="24"/>
          <w:shd w:val="clear" w:fill="FFFFFF"/>
        </w:rPr>
        <w:t>自2024年3月1日起施行</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eastAsia="zh-CN"/>
        </w:rPr>
        <w:t>　　</w:t>
      </w:r>
      <w:r>
        <w:rPr>
          <w:rFonts w:hint="eastAsia" w:ascii="宋体" w:hAnsi="宋体" w:eastAsia="宋体" w:cs="宋体"/>
          <w:b w:val="0"/>
          <w:bCs w:val="0"/>
          <w:kern w:val="2"/>
          <w:sz w:val="24"/>
          <w:szCs w:val="24"/>
          <w:lang w:val="en-US" w:eastAsia="zh-CN" w:bidi="ar-SA"/>
        </w:rPr>
        <w:t>第三十六条　经营快递业务的企业应当建立快递运单（含电子运单）制作、使用、保管、销毁等管理制度和操作规程，采取加密、去标识化等安全技术措施保护快递运单信息安全。</w:t>
      </w:r>
    </w:p>
    <w:p w14:paraId="31693097">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经营快递业务的企业应当建立快递运单码号使用、销毁等管理制度，实行码号使用信息、用户信息、快递物品信息关联管理，保证快件可以跟踪查询。</w:t>
      </w:r>
    </w:p>
    <w:p w14:paraId="77E18072">
      <w:pPr>
        <w:numPr>
          <w:ilvl w:val="0"/>
          <w:numId w:val="0"/>
        </w:numPr>
        <w:ind w:firstLine="48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任何单位和个人不得非法使用、倒卖快递运单。</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"https://www.gov.cn/gongbao/2024/issue_11206/202403/content_6937896.html"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https://www.gov.cn/gongbao/2024/issue_11206/202403/content_6937896.html</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《产业结构调整指导目录（2024年本）》</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中华人民共和国国家发展和改革委员会令第7号，</w:t>
      </w:r>
      <w:r>
        <w:rPr>
          <w:rFonts w:hint="eastAsia" w:ascii="宋体" w:hAnsi="宋体" w:eastAsia="宋体" w:cs="宋体"/>
          <w:i w:val="0"/>
          <w:iCs w:val="0"/>
          <w:caps w:val="0"/>
          <w:color w:val="333333"/>
          <w:spacing w:val="0"/>
          <w:sz w:val="24"/>
          <w:szCs w:val="24"/>
          <w:shd w:val="clear" w:fill="FFFFFF"/>
        </w:rPr>
        <w:t>自2024年2月1日起施行</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b w:val="0"/>
          <w:bCs w:val="0"/>
          <w:kern w:val="2"/>
          <w:sz w:val="24"/>
          <w:szCs w:val="24"/>
          <w:lang w:val="en-US" w:eastAsia="zh-CN" w:bidi="ar-SA"/>
        </w:rPr>
        <w:t>　　第一类　鼓励类</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五十、网络安全</w:t>
      </w:r>
    </w:p>
    <w:p w14:paraId="5703E02F">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1.网络安全产品：端点安全产品、设施安全产品、应用安全产品、数据安全产品、身份安全产品、安全管理产品等</w:t>
      </w:r>
    </w:p>
    <w:p w14:paraId="6FC15C27">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2.网络安全服务：安全咨询、设计与开发，安全集成、安全运营、信息的安全处理和存储、测评认证、灾难备份与恢复、网络安全审计、应急响应、实训基础设施服务、教育培训、安全众测、网络安全保险等</w:t>
      </w:r>
    </w:p>
    <w:p w14:paraId="4DC906ED">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3.网络安全技术的研发与转让</w:t>
      </w:r>
    </w:p>
    <w:p w14:paraId="184C53F3">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4.网络安全检测工具：源代码审计工具、软件负载压力测试工具、网络性能测试仪、漏洞扫描与验证工具、安全配置核查工具、网络流量分析工具、模糊测试工具、渗透测试工具、协议一致性验证工具、流量仿真工具等</w:t>
      </w:r>
    </w:p>
    <w:p w14:paraId="20C66F6C">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5.网络安全基础设施建设与改造升级：网络安全基础平台设施、网络安全产业园区等</w:t>
      </w:r>
    </w:p>
    <w:p w14:paraId="40C6A4F0">
      <w:pPr>
        <w:numPr>
          <w:ilvl w:val="0"/>
          <w:numId w:val="0"/>
        </w:numPr>
        <w:ind w:firstLine="48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6.数据安全技术产品研发与产业化应用，数据安全服务发展（包括检测评估、认证、教育培训等）</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"https://www.gov.cn/gongbao/2024/issue_11206/202403/content_6937897.html"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https://www.gov.cn/gongbao/2024/issue_11206/202403/content_6937897.html</w:t>
      </w:r>
      <w:r>
        <w:rPr>
          <w:rFonts w:hint="eastAsia" w:ascii="宋体" w:hAnsi="宋体" w:eastAsia="宋体" w:cs="宋体"/>
          <w:b w:val="0"/>
          <w:bCs w:val="0"/>
          <w:kern w:val="2"/>
          <w:sz w:val="24"/>
          <w:szCs w:val="24"/>
          <w:lang w:val="en-US" w:eastAsia="zh-CN" w:bidi="ar-SA"/>
        </w:rPr>
        <w:fldChar w:fldCharType="end"/>
      </w:r>
    </w:p>
    <w:p w14:paraId="418227B8">
      <w:pPr>
        <w:numPr>
          <w:ilvl w:val="0"/>
          <w:numId w:val="0"/>
        </w:numPr>
        <w:ind w:firstLine="480"/>
        <w:jc w:val="left"/>
        <w:rPr>
          <w:rFonts w:hint="eastAsia" w:ascii="宋体" w:hAnsi="宋体" w:eastAsia="宋体" w:cs="宋体"/>
          <w:b w:val="0"/>
          <w:bCs w:val="0"/>
          <w:kern w:val="2"/>
          <w:sz w:val="24"/>
          <w:szCs w:val="24"/>
          <w:lang w:val="en-US" w:eastAsia="zh-CN" w:bidi="ar-SA"/>
        </w:rPr>
      </w:pPr>
    </w:p>
    <w:p w14:paraId="5961A6C3">
      <w:pPr>
        <w:numPr>
          <w:ilvl w:val="0"/>
          <w:numId w:val="0"/>
        </w:numPr>
        <w:jc w:val="left"/>
        <w:rPr>
          <w:rFonts w:hint="eastAsia" w:ascii="宋体" w:hAnsi="宋体" w:eastAsia="宋体" w:cs="宋体"/>
          <w:b w:val="0"/>
          <w:bCs w:val="0"/>
          <w:kern w:val="2"/>
          <w:sz w:val="24"/>
          <w:szCs w:val="24"/>
          <w:lang w:val="en-US" w:eastAsia="zh-CN" w:bidi="ar-SA"/>
        </w:rPr>
      </w:pPr>
    </w:p>
    <w:p w14:paraId="23F85965">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《交通运输部关于修改〈邮政业寄递安全监督管理办法〉的决定》</w:t>
      </w:r>
    </w:p>
    <w:p w14:paraId="18AA4D50">
      <w:pPr>
        <w:numPr>
          <w:ilvl w:val="0"/>
          <w:numId w:val="0"/>
        </w:numPr>
        <w:jc w:val="left"/>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中华人民共和国交通运输部令2023年第24号，</w:t>
      </w:r>
      <w:r>
        <w:rPr>
          <w:rFonts w:hint="eastAsia" w:ascii="宋体" w:hAnsi="宋体" w:eastAsia="宋体" w:cs="宋体"/>
          <w:i w:val="0"/>
          <w:iCs w:val="0"/>
          <w:caps w:val="0"/>
          <w:color w:val="333333"/>
          <w:spacing w:val="0"/>
          <w:sz w:val="24"/>
          <w:szCs w:val="24"/>
          <w:shd w:val="clear" w:fill="FFFFFF"/>
        </w:rPr>
        <w:t>2023年12月20日</w:t>
      </w:r>
      <w:r>
        <w:rPr>
          <w:rFonts w:hint="eastAsia" w:ascii="宋体" w:hAnsi="宋体" w:eastAsia="宋体" w:cs="宋体"/>
          <w:i w:val="0"/>
          <w:iCs w:val="0"/>
          <w:caps w:val="0"/>
          <w:color w:val="333333"/>
          <w:spacing w:val="0"/>
          <w:sz w:val="24"/>
          <w:szCs w:val="24"/>
          <w:shd w:val="clear" w:fill="FFFFFF"/>
          <w:lang w:val="en-US" w:eastAsia="zh-CN"/>
        </w:rPr>
        <w:t>修改施行</w:t>
      </w:r>
    </w:p>
    <w:p w14:paraId="6A56B57D">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第二十二条　邮政企业、快递企业应当按照国家网络安全等级保护制度的要求，履行下列安全保护义务，保障其网络免受干扰、破坏或者未经授权的访问，防止网络数据泄露或者被窃取、篡改：</w:t>
      </w:r>
    </w:p>
    <w:p w14:paraId="64DF3DC2">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（一）制定内部安全管理制度和操作规程，确定网络安全负责人，落实网络安全保护责任；</w:t>
      </w:r>
    </w:p>
    <w:p w14:paraId="2FE13A91">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（二）采取防范计算机病毒和网络攻击、网络侵入等危害网络安全行为的技术措施；</w:t>
      </w:r>
    </w:p>
    <w:p w14:paraId="40D20EDB">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（三）采取监测、记录网络运行状态、网络安全事件的技术措施，并按照规定留存相关的网络日志不少于6个月；</w:t>
      </w:r>
    </w:p>
    <w:p w14:paraId="790A19CC">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（四）采取数据分类、重要数据备份和加密等措施；</w:t>
      </w:r>
    </w:p>
    <w:p w14:paraId="23F27042">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（五）法律、行政法规规定的其他义务。</w:t>
      </w:r>
    </w:p>
    <w:p w14:paraId="5AF0F050">
      <w:pPr>
        <w:numPr>
          <w:ilvl w:val="0"/>
          <w:numId w:val="0"/>
        </w:numPr>
        <w:jc w:val="left"/>
        <w:rPr>
          <w:rFonts w:hint="eastAsia" w:ascii="宋体" w:hAnsi="宋体" w:eastAsia="宋体" w:cs="宋体"/>
          <w:b w:val="0"/>
          <w:bCs w:val="0"/>
          <w:kern w:val="2"/>
          <w:sz w:val="24"/>
          <w:szCs w:val="24"/>
          <w:shd w:val="clear" w:color="auto" w:fill="auto"/>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"https://www.gov.cn/gongbao/2024/issue_11226/202403/content_6940051.html"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https://www.gov.cn/gongbao/2024/issue_11226/202403/content_6940051.html</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auto" w:fill="auto"/>
          <w:lang w:val="en-US" w:eastAsia="zh-CN"/>
        </w:rPr>
        <w:t>《</w:t>
      </w:r>
      <w:r>
        <w:rPr>
          <w:rFonts w:hint="eastAsia" w:ascii="宋体" w:hAnsi="宋体" w:eastAsia="宋体" w:cs="宋体"/>
          <w:b w:val="0"/>
          <w:bCs w:val="0"/>
          <w:kern w:val="2"/>
          <w:sz w:val="24"/>
          <w:szCs w:val="24"/>
          <w:shd w:val="clear" w:color="auto" w:fill="auto"/>
          <w:lang w:val="en-US" w:eastAsia="zh-CN" w:bidi="ar-SA"/>
        </w:rPr>
        <w:t>工业和信息化部办公厅关于组织开展网络安全保险服务试点工作的通知</w:t>
      </w:r>
      <w:r>
        <w:rPr>
          <w:rFonts w:hint="eastAsia" w:ascii="宋体" w:hAnsi="宋体" w:eastAsia="宋体" w:cs="宋体"/>
          <w:b w:val="0"/>
          <w:bCs w:val="0"/>
          <w:sz w:val="24"/>
          <w:szCs w:val="24"/>
          <w:shd w:val="clear" w:color="auto" w:fill="auto"/>
          <w:lang w:val="en-US" w:eastAsia="zh-CN"/>
        </w:rPr>
        <w:t>》</w:t>
      </w:r>
    </w:p>
    <w:p w14:paraId="556DC2CC">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工信厅网安函〔2023〕356号，成文日期为2023年12月14日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三、试点对象及内容</w:t>
      </w:r>
    </w:p>
    <w:p w14:paraId="2E33D892">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结合我国网络安全保险发展实际，试点内容包括面向电信和互联网、工业互联网、车联网等重点行业的企业类保险和网络安全产品、信息技术产品，以及网络安全服务类保险，主要试点内容如下。</w:t>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auto" w:fill="auto"/>
          <w:lang w:val="en-US" w:eastAsia="zh-CN"/>
        </w:rPr>
        <w:t>　　</w:t>
      </w:r>
      <w:r>
        <w:rPr>
          <w:rFonts w:hint="eastAsia" w:ascii="宋体" w:hAnsi="宋体" w:eastAsia="宋体" w:cs="宋体"/>
          <w:b w:val="0"/>
          <w:bCs w:val="0"/>
          <w:kern w:val="2"/>
          <w:sz w:val="24"/>
          <w:szCs w:val="24"/>
          <w:lang w:val="en-US" w:eastAsia="zh-CN" w:bidi="ar-SA"/>
        </w:rPr>
        <w:t>（一）企业类</w:t>
      </w:r>
    </w:p>
    <w:p w14:paraId="5215CCCC">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以企业法人为被保险方，主要保障网络安全事件对其造成的财产损失或赔偿责任。</w:t>
      </w:r>
    </w:p>
    <w:p w14:paraId="71E03593">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2.工业互联网企业。面向联网工业企业、工业互联网平台企业、标识解析企业等工业互联网企业，针对因网络攻击或内部人员操作不当造成的联网工业设备或工业控制系统运行故障、自动化生产线停止运行、重要数据被加密锁定等风险场景，主要承保营业中断损失、数据资产重置费用、应急处置费用等。面向原材料工业、装备工业、消费品工业和电子信息制造业等重要行业企业，针对因网络攻击或操作不当造成的生产制造系统运行故障，办公自动化等系统运行中断、管理数据损坏等风险场景，主要承保营业中断损失、数据资产重置费用、应急处置费用等。</w:t>
      </w:r>
    </w:p>
    <w:p w14:paraId="41494A95">
      <w:pPr>
        <w:numPr>
          <w:ilvl w:val="0"/>
          <w:numId w:val="0"/>
        </w:numPr>
        <w:ind w:firstLine="48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车联网企业。面向整车生产制造企业、车辆电子系统制造企业、电子零部件企业、智能车辆运营企业等车联网相关企业，针对因网络攻击、系统设计缺陷、操作不当等导致的装配线等生产制造系统运行故障、车辆设计敏感数据被泄露等风险场景，主要承保车主、车上人员以及第三方的索赔损失、数据资产重置费用、硬件改善成本、营业中断损失、应急处置费用等。</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"https://www.gov.cn/zhengce/zhengceku/202312/content_6921869.htm"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https://www.gov.cn/zhengce/zhengceku/202312/content_6921869.htm</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《工业和信息化部关于进一步提升移动互联网应用服务能力的通知》</w:t>
      </w:r>
    </w:p>
    <w:p w14:paraId="058786F0">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工信部信管函〔2023〕26号，成文日期为2023年2月6日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二、提升全链条管理能力，营造健康服务生态</w:t>
      </w:r>
    </w:p>
    <w:p w14:paraId="1A87C757">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(一)落实APP开发运营者主体责任</w:t>
      </w:r>
    </w:p>
    <w:p w14:paraId="758C0C94">
      <w:pPr>
        <w:numPr>
          <w:ilvl w:val="0"/>
          <w:numId w:val="0"/>
        </w:numPr>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1.完善内部管理机制。明确用户服务和权益保护的牵头管理部门和负责人，建立全生命周期个人信息保护机制，健全考核问责制度，将相关法规政策要求落实到产品研发、推广和运营各环节，不断提高合规水平。定期对个人信息保护措施及执行情况等进行合规审计，有效防范风险隐患。</w:t>
      </w:r>
    </w:p>
    <w:p w14:paraId="2B49E92C">
      <w:pPr>
        <w:numPr>
          <w:ilvl w:val="0"/>
          <w:numId w:val="0"/>
        </w:numPr>
        <w:ind w:firstLine="48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2.增强技术保障能力。采取访问控制、技术加密、去标识化等安全技术措施，加强前端和后端安全防护。主动监测发现个人信息泄露、窃取、篡改、毁损、丢失、非法使用等风险威胁，及时响应处置要求。</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"https://www.gov.cn/zhengce/zhengceku/2023-03/02/content_5744106.htm"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https://www.gov.cn/zhengce/zhengceku/2023-03/02/content_5744106.htm</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《商务部 中央网信办 发展改革委关于印发＜“十四五”电子商务发展规划＞的通知》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商电发〔2021〕191号，成文日期为2021年10月09日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　　</w:t>
      </w:r>
      <w:r>
        <w:rPr>
          <w:rFonts w:hint="eastAsia" w:ascii="宋体" w:hAnsi="宋体" w:eastAsia="宋体" w:cs="宋体"/>
          <w:b w:val="0"/>
          <w:bCs w:val="0"/>
          <w:sz w:val="24"/>
          <w:szCs w:val="24"/>
          <w:lang w:val="en-US" w:eastAsia="zh-CN"/>
        </w:rPr>
        <w:t>·探索建立电子商务平台网络安全防护和金融风险预警机制，支持电子商务相关企业研究多属性的安全认证技术，充分发挥密码在保障网络信息安全方面的作用。加强电子商务企业数据全生命周期管理，建立相应管理制度及安全防护措施，保障网上购物的个人信息和重要数据安全。开展数据出境安全评估能力建设，保障电子商务领域重要数据、个人信息的有序安全流动。指导电子商务企业树牢安全生产意识，完善安全风险治理体系，提升安全生产工作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"http://www.gov.cn/zhengce/zhengceku/2021-10/27/content_5645853.htm"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http://www.gov.cn/zhengce/zhengceku/2021-10/27/content_5645853.htm</w:t>
      </w:r>
      <w:r>
        <w:rPr>
          <w:rFonts w:hint="eastAsia" w:ascii="宋体" w:hAnsi="宋体" w:eastAsia="宋体" w:cs="宋体"/>
          <w:b w:val="0"/>
          <w:bCs w:val="0"/>
          <w:sz w:val="24"/>
          <w:szCs w:val="24"/>
          <w:lang w:val="en-US" w:eastAsia="zh-CN"/>
        </w:rPr>
        <w:fldChar w:fldCharType="end"/>
      </w:r>
    </w:p>
    <w:p w14:paraId="32CA6EBC">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《国家知识产权局关于印发知识产权公共服务“十四五”规划的通知》</w:t>
      </w:r>
    </w:p>
    <w:p w14:paraId="248A59D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国知发服字〔2021〕39号，成文日期为2021年12月31日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·全面落实《网络安全法》《数据安全法》《个人信息保护法》《密码法》等法律法规和网络安全等级保护制度，加强网络安全等级保护第三级及以上网络、信息系统和重要数据的安全防护。</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·加强对云计算、大数据、区块链、人工智能等新技术新应用的安全防护，确保其技术、产品、服务和供应链安全。积极推进国产密码技术和产品应用，提升使用密码技术保障网络与数据安全的水平。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"http://www.gov.cn/zhengce/zhengceku/2022-01/09/content_5667251.htm"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http://www.gov.cn/zhengce/zhengceku/2022-01/09/content_5667251.htm</w:t>
      </w:r>
      <w:r>
        <w:rPr>
          <w:rFonts w:hint="eastAsia" w:ascii="宋体" w:hAnsi="宋体" w:eastAsia="宋体" w:cs="宋体"/>
          <w:b w:val="0"/>
          <w:bCs w:val="0"/>
          <w:sz w:val="24"/>
          <w:szCs w:val="24"/>
          <w:lang w:val="en-US" w:eastAsia="zh-CN"/>
        </w:rPr>
        <w:fldChar w:fldCharType="end"/>
      </w:r>
    </w:p>
    <w:p w14:paraId="1FD46ABD">
      <w:pPr>
        <w:numPr>
          <w:ilvl w:val="0"/>
          <w:numId w:val="0"/>
        </w:numPr>
        <w:jc w:val="left"/>
        <w:rPr>
          <w:rFonts w:hint="eastAsia" w:ascii="宋体" w:hAnsi="宋体" w:eastAsia="宋体" w:cs="宋体"/>
          <w:b w:val="0"/>
          <w:bCs w:val="0"/>
          <w:sz w:val="24"/>
          <w:szCs w:val="24"/>
          <w:lang w:val="en-US" w:eastAsia="zh-CN"/>
        </w:rPr>
      </w:pPr>
    </w:p>
    <w:p w14:paraId="39CDF214">
      <w:pPr>
        <w:numPr>
          <w:ilvl w:val="0"/>
          <w:numId w:val="0"/>
        </w:numPr>
        <w:jc w:val="left"/>
        <w:rPr>
          <w:rStyle w:val="16"/>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《国家新闻出版署关于印发＜出版业“十四五”时期发展规划＞的通知》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国新出发〔2021〕20号，成文日期为2021年12月31日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·出版领域区块链技术创新应用工程: 推动智能合约、共识算法、加密算法、分布式系统等区块链技术在出版产业中的创新应用, 以联盟链为重点, 发展区块链服务平台, 完善数字资产与供应链管理, 健全行业监管机制, 提高出版(版权)管理水平。</w:t>
      </w:r>
      <w:r>
        <w:rPr>
          <w:rFonts w:hint="eastAsia" w:ascii="宋体" w:hAnsi="宋体" w:eastAsia="宋体" w:cs="宋体"/>
          <w:b w:val="0"/>
          <w:bCs w:val="0"/>
          <w:sz w:val="24"/>
          <w:szCs w:val="24"/>
          <w:lang w:val="en-US" w:eastAsia="zh-CN"/>
        </w:rPr>
        <w:br w:type="textWrapping"/>
      </w:r>
      <w:r>
        <w:rPr>
          <w:rStyle w:val="16"/>
          <w:rFonts w:hint="eastAsia" w:ascii="宋体" w:hAnsi="宋体" w:eastAsia="宋体" w:cs="宋体"/>
          <w:b w:val="0"/>
          <w:bCs w:val="0"/>
          <w:sz w:val="24"/>
          <w:szCs w:val="24"/>
          <w:lang w:val="en-US" w:eastAsia="zh-CN"/>
        </w:rPr>
        <w:fldChar w:fldCharType="begin"/>
      </w:r>
      <w:r>
        <w:rPr>
          <w:rStyle w:val="16"/>
          <w:rFonts w:hint="eastAsia" w:ascii="宋体" w:hAnsi="宋体" w:eastAsia="宋体" w:cs="宋体"/>
          <w:b w:val="0"/>
          <w:bCs w:val="0"/>
          <w:sz w:val="24"/>
          <w:szCs w:val="24"/>
          <w:lang w:val="en-US" w:eastAsia="zh-CN"/>
        </w:rPr>
        <w:instrText xml:space="preserve"> HYPERLINK "https://www.nppa.gov.cn/nppa/contents/279/102953.shtml" </w:instrText>
      </w:r>
      <w:r>
        <w:rPr>
          <w:rStyle w:val="16"/>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https://www.nppa.gov.cn/nppa/contents/279/102953.shtml</w:t>
      </w:r>
      <w:r>
        <w:rPr>
          <w:rStyle w:val="16"/>
          <w:rFonts w:hint="eastAsia" w:ascii="宋体" w:hAnsi="宋体" w:eastAsia="宋体" w:cs="宋体"/>
          <w:b w:val="0"/>
          <w:bCs w:val="0"/>
          <w:sz w:val="24"/>
          <w:szCs w:val="24"/>
          <w:lang w:val="en-US" w:eastAsia="zh-CN"/>
        </w:rPr>
        <w:fldChar w:fldCharType="end"/>
      </w:r>
    </w:p>
    <w:p w14:paraId="4F619DD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《住房和城乡建设部等部门关于推动物业服务企业加快发展线上线下生活服务的意见》</w:t>
      </w:r>
    </w:p>
    <w:p w14:paraId="56A12E4B">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建房〔2020〕99号，成文日期为2020年12月4日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保障平台安全运营。严格落实网络和数据安全法律法规和政策标准，建立健全安全管理制度，采用国产密码技术，增强安全可控技术和产品应用，加强日常监测和安全演练，确保智慧物业管理服务平台网络和数据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"http://www.gov.cn/zhengce/zhengceku/2020-12/19/content_5571261.htm"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http://www.gov.cn/zhengce/zhengceku/2020-12/19/content_5571261.htm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《工业和信息化部关于印发“十四五”软件和信息技术服务业发展规划的通知》</w:t>
      </w:r>
    </w:p>
    <w:p w14:paraId="073EA2A2">
      <w:pPr>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val="0"/>
          <w:bCs w:val="0"/>
          <w:sz w:val="24"/>
          <w:szCs w:val="24"/>
          <w:lang w:val="en-US" w:eastAsia="zh-CN"/>
        </w:rPr>
        <w:t>工信部规〔2021〕180号，成文日期为2021年11月15日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·加快区块链共识算法、加密算法、高效安全智能合约、分布式系统 等关键技术研发。支持区块链底层技术平台、区块链服务平台等建设。加强金融 科技、供应链管理、政府服务等重点领域应用。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"http://www.gov.cn/zhengce/zhengceku/2021-12/01/content_5655205.htm"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http://www.gov.cn/zhengce/zhengceku/2021-12/01/content_5655205.htm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i w:val="0"/>
          <w:iCs w:val="0"/>
          <w:caps w:val="0"/>
          <w:color w:val="333333"/>
          <w:spacing w:val="0"/>
          <w:sz w:val="24"/>
          <w:szCs w:val="24"/>
          <w:shd w:val="clear" w:fill="FFFFFF"/>
        </w:rPr>
        <w:t>《邮政业寄递安全监督管理办法》</w:t>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i w:val="0"/>
          <w:iCs w:val="0"/>
          <w:caps w:val="0"/>
          <w:color w:val="333333"/>
          <w:spacing w:val="0"/>
          <w:sz w:val="24"/>
          <w:szCs w:val="24"/>
          <w:shd w:val="clear" w:fill="FFFFFF"/>
          <w:lang w:val="en-US" w:eastAsia="zh-CN"/>
        </w:rPr>
        <w:t>中华人民共和国交通运输部令2020年第1号，</w:t>
      </w:r>
      <w:r>
        <w:rPr>
          <w:rFonts w:hint="eastAsia" w:ascii="宋体" w:hAnsi="宋体" w:eastAsia="宋体" w:cs="宋体"/>
          <w:i w:val="0"/>
          <w:iCs w:val="0"/>
          <w:caps w:val="0"/>
          <w:color w:val="333333"/>
          <w:spacing w:val="0"/>
          <w:sz w:val="24"/>
          <w:szCs w:val="24"/>
          <w:shd w:val="clear" w:fill="FFFFFF"/>
        </w:rPr>
        <w:t>自2020年2月15日起施行</w:t>
      </w:r>
      <w:r>
        <w:rPr>
          <w:rFonts w:hint="eastAsia" w:ascii="宋体" w:hAnsi="宋体" w:eastAsia="宋体" w:cs="宋体"/>
          <w:i w:val="0"/>
          <w:iCs w:val="0"/>
          <w:caps w:val="0"/>
          <w:color w:val="333333"/>
          <w:spacing w:val="0"/>
          <w:sz w:val="24"/>
          <w:szCs w:val="24"/>
          <w:shd w:val="clear" w:fill="FFFFFF"/>
          <w:lang w:val="en-US" w:eastAsia="zh-CN"/>
        </w:rPr>
        <w:br w:type="textWrapping"/>
      </w:r>
      <w:r>
        <w:rPr>
          <w:rFonts w:hint="eastAsia" w:ascii="宋体" w:hAnsi="宋体" w:eastAsia="宋体" w:cs="宋体"/>
          <w:b w:val="0"/>
          <w:bCs w:val="0"/>
          <w:sz w:val="24"/>
          <w:szCs w:val="24"/>
          <w:lang w:val="en-US" w:eastAsia="zh-CN"/>
        </w:rPr>
        <w:t>　　</w:t>
      </w:r>
      <w:r>
        <w:rPr>
          <w:rFonts w:hint="eastAsia" w:ascii="宋体" w:hAnsi="宋体" w:eastAsia="宋体" w:cs="宋体"/>
          <w:i w:val="0"/>
          <w:iCs w:val="0"/>
          <w:caps w:val="0"/>
          <w:color w:val="333333"/>
          <w:spacing w:val="0"/>
          <w:sz w:val="24"/>
          <w:szCs w:val="24"/>
          <w:shd w:val="clear" w:fill="FFFFFF"/>
          <w:lang w:val="en-US" w:eastAsia="zh-CN"/>
        </w:rPr>
        <w:t>第二十二条　邮政企业、快递企业应当按照国家网络安全等级保护制度的要求，履行下列安全保护义务，保障其网络免受干扰、破坏或者未经授权的访问，防止网络数据泄露或者被窃取、篡改：</w:t>
      </w:r>
    </w:p>
    <w:p w14:paraId="5FB47634">
      <w:pPr>
        <w:ind w:left="479" w:leftChars="228" w:firstLine="0" w:firstLineChars="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lang w:val="en-US" w:eastAsia="zh-CN"/>
        </w:rPr>
        <w:br w:type="textWrapping"/>
      </w:r>
      <w:r>
        <w:rPr>
          <w:rFonts w:hint="eastAsia" w:ascii="宋体" w:hAnsi="宋体" w:eastAsia="宋体" w:cs="宋体"/>
          <w:i w:val="0"/>
          <w:iCs w:val="0"/>
          <w:caps w:val="0"/>
          <w:color w:val="333333"/>
          <w:spacing w:val="0"/>
          <w:sz w:val="24"/>
          <w:szCs w:val="24"/>
          <w:shd w:val="clear" w:fill="FFFFFF"/>
          <w:lang w:val="en-US" w:eastAsia="zh-CN"/>
        </w:rPr>
        <w:t>（四）采取数据分类、重要数据备份和加密等措施；</w:t>
      </w:r>
    </w:p>
    <w:p w14:paraId="3684A99C">
      <w:pPr>
        <w:ind w:firstLine="480" w:firstLineChars="200"/>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lang w:val="en-US" w:eastAsia="zh-CN"/>
        </w:rPr>
        <w:br w:type="textWrapping"/>
      </w:r>
      <w:r>
        <w:rPr>
          <w:rFonts w:hint="eastAsia" w:ascii="宋体" w:hAnsi="宋体" w:eastAsia="宋体" w:cs="宋体"/>
          <w:i w:val="0"/>
          <w:iCs w:val="0"/>
          <w:caps w:val="0"/>
          <w:color w:val="333333"/>
          <w:spacing w:val="0"/>
          <w:sz w:val="24"/>
          <w:szCs w:val="24"/>
          <w:shd w:val="clear" w:fill="FFFFFF"/>
          <w:lang w:val="en-US" w:eastAsia="zh-CN"/>
        </w:rPr>
        <w:fldChar w:fldCharType="begin"/>
      </w:r>
      <w:r>
        <w:rPr>
          <w:rFonts w:hint="eastAsia" w:ascii="宋体" w:hAnsi="宋体" w:eastAsia="宋体" w:cs="宋体"/>
          <w:i w:val="0"/>
          <w:iCs w:val="0"/>
          <w:caps w:val="0"/>
          <w:color w:val="333333"/>
          <w:spacing w:val="0"/>
          <w:sz w:val="24"/>
          <w:szCs w:val="24"/>
          <w:shd w:val="clear" w:fill="FFFFFF"/>
          <w:lang w:val="en-US" w:eastAsia="zh-CN"/>
        </w:rPr>
        <w:instrText xml:space="preserve"> HYPERLINK "https://www.gov.cn/gongbao/content/2020/content_5509721.htm" </w:instrText>
      </w:r>
      <w:r>
        <w:rPr>
          <w:rFonts w:hint="eastAsia" w:ascii="宋体" w:hAnsi="宋体" w:eastAsia="宋体" w:cs="宋体"/>
          <w:i w:val="0"/>
          <w:iCs w:val="0"/>
          <w:caps w:val="0"/>
          <w:color w:val="333333"/>
          <w:spacing w:val="0"/>
          <w:sz w:val="24"/>
          <w:szCs w:val="24"/>
          <w:shd w:val="clear" w:fill="FFFFFF"/>
          <w:lang w:val="en-US" w:eastAsia="zh-CN"/>
        </w:rPr>
        <w:fldChar w:fldCharType="separate"/>
      </w:r>
      <w:r>
        <w:rPr>
          <w:rStyle w:val="16"/>
          <w:rFonts w:hint="eastAsia" w:ascii="宋体" w:hAnsi="宋体" w:eastAsia="宋体" w:cs="宋体"/>
          <w:i w:val="0"/>
          <w:iCs w:val="0"/>
          <w:caps w:val="0"/>
          <w:spacing w:val="0"/>
          <w:sz w:val="24"/>
          <w:szCs w:val="24"/>
          <w:shd w:val="clear" w:fill="FFFFFF"/>
          <w:lang w:val="en-US" w:eastAsia="zh-CN"/>
        </w:rPr>
        <w:t>https://www.gov.cn/gongbao/content/2020/content_5509721.htm</w:t>
      </w:r>
      <w:r>
        <w:rPr>
          <w:rFonts w:hint="eastAsia" w:ascii="宋体" w:hAnsi="宋体" w:eastAsia="宋体" w:cs="宋体"/>
          <w:i w:val="0"/>
          <w:iCs w:val="0"/>
          <w:caps w:val="0"/>
          <w:color w:val="333333"/>
          <w:spacing w:val="0"/>
          <w:sz w:val="24"/>
          <w:szCs w:val="24"/>
          <w:shd w:val="clear" w:fill="FFFFFF"/>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p>
    <w:p w14:paraId="37F8ED6F">
      <w:pPr>
        <w:jc w:val="left"/>
        <w:rPr>
          <w:rStyle w:val="17"/>
          <w:rFonts w:hint="eastAsia"/>
          <w:lang w:val="en-US" w:eastAsia="zh-CN"/>
        </w:rPr>
      </w:pPr>
      <w:r>
        <w:rPr>
          <w:rStyle w:val="17"/>
          <w:rFonts w:hint="eastAsia"/>
          <w:lang w:val="en-US" w:eastAsia="zh-CN"/>
        </w:rPr>
        <w:t>四、信息惠民密码应用</w:t>
      </w:r>
    </w:p>
    <w:p w14:paraId="23A418EC">
      <w:pPr>
        <w:pStyle w:val="3"/>
        <w:bidi w:val="0"/>
        <w:rPr>
          <w:rFonts w:hint="eastAsia"/>
          <w:sz w:val="24"/>
          <w:szCs w:val="32"/>
          <w:lang w:val="en-US" w:eastAsia="zh-CN"/>
        </w:rPr>
      </w:pPr>
      <w:bookmarkStart w:id="11" w:name="_Toc16103"/>
      <w:r>
        <w:rPr>
          <w:rFonts w:hint="eastAsia"/>
          <w:sz w:val="24"/>
          <w:szCs w:val="32"/>
          <w:lang w:val="en-US" w:eastAsia="zh-CN"/>
        </w:rPr>
        <w:t>（一）电子政务密码应用</w:t>
      </w:r>
      <w:bookmarkEnd w:id="11"/>
    </w:p>
    <w:p w14:paraId="3ECF3006">
      <w:pPr>
        <w:numPr>
          <w:ilvl w:val="0"/>
          <w:numId w:val="0"/>
        </w:numPr>
        <w:ind w:firstLine="480"/>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《电子档案管理办法》</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国家档案局令第22号公布，自2024年11月1日起施行</w:t>
      </w:r>
    </w:p>
    <w:p w14:paraId="1A19FF45">
      <w:pPr>
        <w:numPr>
          <w:ilvl w:val="0"/>
          <w:numId w:val="0"/>
        </w:numPr>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第八条　电子档案管理的全过程应当符合国家网络安全、数据安全、个人信息保护、保密管理、密码管理等相关法律法规要求，确保电子档案的安全。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第十七条　电子文件形成部门应当在电子文件形成、办理、收集过程中完成保管期限鉴定、分类、命名等工作，确保电子文件符合归档要求，并且完整采集描述电子文件内容、结构和背景信息的元数据及其整个管理过程元数据。</w:t>
      </w:r>
    </w:p>
    <w:p w14:paraId="5ED46462">
      <w:pPr>
        <w:numPr>
          <w:ilvl w:val="0"/>
          <w:numId w:val="0"/>
        </w:numPr>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电子文件及其元数据归档不得采用非开放的压缩、加密等技术措施。</w:t>
      </w:r>
    </w:p>
    <w:p w14:paraId="4D34F7FC">
      <w:pPr>
        <w:numPr>
          <w:ilvl w:val="0"/>
          <w:numId w:val="0"/>
        </w:numPr>
        <w:ind w:firstLine="480"/>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党政机关电子公文归档，应当去除电子印章的数字签名信息，只保留印章图形。其他组织机构电子文件归档可以参照处理。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"https://www.gov.cn/gongbao/2024/issue_11746/202412/content_6991650.html"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https://www.gov.cn/gongbao/2024/issue_11746/202412/content_6991650.html</w:t>
      </w:r>
      <w:r>
        <w:rPr>
          <w:rFonts w:hint="eastAsia" w:ascii="宋体" w:hAnsi="宋体" w:eastAsia="宋体" w:cs="宋体"/>
          <w:b w:val="0"/>
          <w:bCs w:val="0"/>
          <w:sz w:val="24"/>
          <w:szCs w:val="24"/>
          <w:lang w:val="en-US" w:eastAsia="zh-CN"/>
        </w:rPr>
        <w:fldChar w:fldCharType="end"/>
      </w:r>
    </w:p>
    <w:p w14:paraId="59D9699D">
      <w:pPr>
        <w:numPr>
          <w:ilvl w:val="0"/>
          <w:numId w:val="0"/>
        </w:numPr>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《中共中央办公厅 国务院办公厅关于加快公共数据资源开发利用的意见》</w:t>
      </w:r>
    </w:p>
    <w:p w14:paraId="15A04979">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发文时间：2024年9月21日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十六）增强支撑能力。加快建立数据产权归属认定、市场交易、权益分配、利益保护制度。统筹数据领域标准体系建设管理，组织开展相关标准研制、宣传、执行和评价。依托国家重点研发计划、国家科技重大专项等，开展数据加密、可信流通、安全治理等关键技术研究和攻关。加强数据领域人才队伍建设，将提高做好数据工作的能力纳入干部教育培训内容。积极参与国际交流合作，推动公共数据国际治理规则、国际标准制定。</w:t>
      </w:r>
    </w:p>
    <w:p w14:paraId="58584B65">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"https://www.gov.cn/gongbao/2024/issue_11666/202410/content_6983475.html"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https://www.gov.cn/gongbao/2024/issue_11666/202410/content_6983475.html</w:t>
      </w:r>
      <w:r>
        <w:rPr>
          <w:rFonts w:hint="eastAsia" w:ascii="宋体" w:hAnsi="宋体" w:eastAsia="宋体" w:cs="宋体"/>
          <w:b w:val="0"/>
          <w:bCs w:val="0"/>
          <w:sz w:val="24"/>
          <w:szCs w:val="24"/>
          <w:lang w:val="en-US" w:eastAsia="zh-CN"/>
        </w:rPr>
        <w:fldChar w:fldCharType="end"/>
      </w:r>
    </w:p>
    <w:p w14:paraId="23CD23AF">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《国务院办公厅关于印发＜政务服务电子文件归档和电子档案管理办法＞的通知》</w:t>
      </w:r>
    </w:p>
    <w:p w14:paraId="106861C2">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国办发〔2023〕26号，自2023年7月30日起施行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第九条　政务服务电子文件归档格式应当符合国家标准规范，并且通用、开放、不绑定软硬件。加密的政务服务电子文件应当解除加密技术手段后归档。</w:t>
      </w:r>
    </w:p>
    <w:p w14:paraId="452F50E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政务服务电子文件归档一般采用在线实时归档方式，不具备在线归档条件的，可以采用离线归档方式，归档时间最迟不能超过办理完毕后的第二年6月底。</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第十一条　各级政务服务机构应当做好本单位政务服务电子档案安全管理工作，定期开展电子档案备份，做好电子档案登记、日常检查、转换、迁移、鉴定、销毁等工作。政务服务电子文件办理过程中应当按照国家有关法律法规要求，规范使用密码技术进行保护。</w:t>
      </w:r>
      <w:r>
        <w:rPr>
          <w:rFonts w:hint="eastAsia" w:ascii="宋体" w:hAnsi="宋体" w:eastAsia="宋体" w:cs="宋体"/>
          <w:b w:val="0"/>
          <w:bCs w:val="0"/>
          <w:sz w:val="24"/>
          <w:szCs w:val="24"/>
          <w:lang w:val="en-US" w:eastAsia="zh-CN"/>
        </w:rPr>
        <w:br w:type="textWrapping"/>
      </w:r>
      <w:r>
        <w:rPr>
          <w:rFonts w:hint="eastAsia" w:ascii="宋体" w:hAnsi="宋体" w:eastAsia="宋体" w:cs="宋体"/>
          <w:i w:val="0"/>
          <w:iCs w:val="0"/>
          <w:caps w:val="0"/>
          <w:color w:val="333333"/>
          <w:spacing w:val="0"/>
          <w:sz w:val="24"/>
          <w:szCs w:val="24"/>
          <w:shd w:val="clear" w:fill="FFFFFF"/>
          <w:lang w:val="en-US" w:eastAsia="zh-CN"/>
        </w:rPr>
        <w:fldChar w:fldCharType="begin"/>
      </w:r>
      <w:r>
        <w:rPr>
          <w:rFonts w:hint="eastAsia" w:ascii="宋体" w:hAnsi="宋体" w:eastAsia="宋体" w:cs="宋体"/>
          <w:i w:val="0"/>
          <w:iCs w:val="0"/>
          <w:caps w:val="0"/>
          <w:color w:val="333333"/>
          <w:spacing w:val="0"/>
          <w:sz w:val="24"/>
          <w:szCs w:val="24"/>
          <w:shd w:val="clear" w:fill="FFFFFF"/>
          <w:lang w:val="en-US" w:eastAsia="zh-CN"/>
        </w:rPr>
        <w:instrText xml:space="preserve"> HYPERLINK "https://www.gov.cn/gongbao/2023/issue_10686/202309/content_6902579.html" </w:instrText>
      </w:r>
      <w:r>
        <w:rPr>
          <w:rFonts w:hint="eastAsia" w:ascii="宋体" w:hAnsi="宋体" w:eastAsia="宋体" w:cs="宋体"/>
          <w:i w:val="0"/>
          <w:iCs w:val="0"/>
          <w:caps w:val="0"/>
          <w:color w:val="333333"/>
          <w:spacing w:val="0"/>
          <w:sz w:val="24"/>
          <w:szCs w:val="24"/>
          <w:shd w:val="clear" w:fill="FFFFFF"/>
          <w:lang w:val="en-US" w:eastAsia="zh-CN"/>
        </w:rPr>
        <w:fldChar w:fldCharType="separate"/>
      </w:r>
      <w:r>
        <w:rPr>
          <w:rStyle w:val="16"/>
          <w:rFonts w:hint="eastAsia" w:ascii="宋体" w:hAnsi="宋体" w:eastAsia="宋体" w:cs="宋体"/>
          <w:i w:val="0"/>
          <w:iCs w:val="0"/>
          <w:caps w:val="0"/>
          <w:spacing w:val="0"/>
          <w:sz w:val="24"/>
          <w:szCs w:val="24"/>
          <w:shd w:val="clear" w:fill="FFFFFF"/>
          <w:lang w:val="en-US" w:eastAsia="zh-CN"/>
        </w:rPr>
        <w:t>https://www.gov.cn/gongbao/2023/issue_10686/202309/content_6902579.html</w:t>
      </w:r>
      <w:r>
        <w:rPr>
          <w:rFonts w:hint="eastAsia" w:ascii="宋体" w:hAnsi="宋体" w:eastAsia="宋体" w:cs="宋体"/>
          <w:i w:val="0"/>
          <w:iCs w:val="0"/>
          <w:caps w:val="0"/>
          <w:color w:val="333333"/>
          <w:spacing w:val="0"/>
          <w:sz w:val="24"/>
          <w:szCs w:val="24"/>
          <w:shd w:val="clear" w:fill="FFFFFF"/>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《国务院关于加强数字政府建设的指导意见》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国发〔2022〕14号，成文日期为2022年6月6日</w:t>
      </w:r>
    </w:p>
    <w:p w14:paraId="16119A4F">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加强关键信息基础设施安全保护和网络安全等级保护，建立健全网络安全、保密监测预警和密码应用安全性评估的机制，定期开展网络安全、保密和密码应用检查，提升数字政府领域关键信息基础设施保护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"http://www.gov.cn/zhengce/zhengceku/2022-06/23/content_5697299.htm"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http://www.gov.cn/zhengce/zhengceku/2022-06/23/content_5697299.htm</w:t>
      </w:r>
      <w:r>
        <w:rPr>
          <w:rFonts w:hint="eastAsia" w:ascii="宋体" w:hAnsi="宋体" w:eastAsia="宋体" w:cs="宋体"/>
          <w:b w:val="0"/>
          <w:bCs w:val="0"/>
          <w:sz w:val="24"/>
          <w:szCs w:val="24"/>
          <w:lang w:val="en-US" w:eastAsia="zh-CN"/>
        </w:rPr>
        <w:fldChar w:fldCharType="end"/>
      </w:r>
    </w:p>
    <w:p w14:paraId="73677842">
      <w:pPr>
        <w:jc w:val="left"/>
        <w:rPr>
          <w:rFonts w:hint="eastAsia" w:ascii="宋体" w:hAnsi="宋体" w:eastAsia="宋体" w:cs="宋体"/>
          <w:b w:val="0"/>
          <w:bCs w:val="0"/>
          <w:sz w:val="24"/>
          <w:szCs w:val="24"/>
          <w:lang w:val="en-US" w:eastAsia="zh-CN"/>
        </w:rPr>
      </w:pPr>
    </w:p>
    <w:p w14:paraId="39E9CFEF">
      <w:pPr>
        <w:jc w:val="left"/>
        <w:rPr>
          <w:rFonts w:hint="eastAsia" w:ascii="宋体" w:hAnsi="宋体" w:eastAsia="宋体" w:cs="宋体"/>
          <w:b w:val="0"/>
          <w:bCs w:val="0"/>
          <w:sz w:val="24"/>
          <w:szCs w:val="24"/>
          <w:lang w:val="en-US" w:eastAsia="zh-CN"/>
        </w:rPr>
      </w:pPr>
    </w:p>
    <w:p w14:paraId="36B8299A">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《国务院办公厅关于加快推进电子证照扩大应用领域和全国互通互认的意见》</w:t>
      </w:r>
    </w:p>
    <w:p w14:paraId="7223A5AC">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国办发〔2022〕3号，成文日期为2022年1月20日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·建立健全涵盖电子证照应用业务、数据、技术、管理、安全等的标准体系，制定电子证照签章、电子印章密码应用等规范，完善电子证照在移动服务、自助服务等领域的使用规范。</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电子证照签发、归集、存储、使用等各环节安全管理，严格落实网络安全等级保护制度等要求，强化密码应用安全性评估，探索运用区块链、新兴密码技术、隐私计算等手段提升电子证照安全防护、追踪溯源和精准授权等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"http://www.gov.cn/zhengce/zhengceku/2022-02/22/content_5674998.htm"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http://www.gov.cn/zhengce/zhengceku/2022-02/22/content_5674998.htm</w:t>
      </w:r>
      <w:r>
        <w:rPr>
          <w:rFonts w:hint="eastAsia" w:ascii="宋体" w:hAnsi="宋体" w:eastAsia="宋体" w:cs="宋体"/>
          <w:b w:val="0"/>
          <w:bCs w:val="0"/>
          <w:sz w:val="24"/>
          <w:szCs w:val="24"/>
          <w:lang w:val="en-US" w:eastAsia="zh-CN"/>
        </w:rPr>
        <w:fldChar w:fldCharType="end"/>
      </w:r>
    </w:p>
    <w:p w14:paraId="76C5B562">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《国务院办公厅关于印发全国一体化政务服务平台移动端建设指南的通知》</w:t>
      </w:r>
    </w:p>
    <w:p w14:paraId="135874B9">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国办函〔2021〕105号，成文日期为2021年9月29日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各地区和国务院有关部门要综合利用密码技术、安全审计等手段强化本地区本部门政务服务平台移动端安全保障和风险防控能力，构建全方位、多层次、一致性的防护体系，切实保障全国一体化平台移动端安全平稳高效运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"http://www.gov.cn/zhengce/zhengceku/2021-11/12/content_5650485.htm"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http://www.gov.cn/zhengce/zhengceku/2021-11/12/content_5650485.htm</w:t>
      </w:r>
      <w:r>
        <w:rPr>
          <w:rFonts w:hint="eastAsia" w:ascii="宋体" w:hAnsi="宋体" w:eastAsia="宋体" w:cs="宋体"/>
          <w:b w:val="0"/>
          <w:bCs w:val="0"/>
          <w:sz w:val="24"/>
          <w:szCs w:val="24"/>
          <w:lang w:val="en-US" w:eastAsia="zh-CN"/>
        </w:rPr>
        <w:fldChar w:fldCharType="end"/>
      </w:r>
    </w:p>
    <w:p w14:paraId="6B56626E">
      <w:pPr>
        <w:jc w:val="left"/>
        <w:rPr>
          <w:rFonts w:hint="eastAsia" w:ascii="宋体" w:hAnsi="宋体" w:eastAsia="宋体" w:cs="宋体"/>
          <w:b w:val="0"/>
          <w:bCs w:val="0"/>
          <w:sz w:val="24"/>
          <w:szCs w:val="24"/>
          <w:lang w:val="en-US" w:eastAsia="zh-CN"/>
        </w:rPr>
      </w:pPr>
    </w:p>
    <w:p w14:paraId="7ADE72B1">
      <w:pPr>
        <w:jc w:val="left"/>
        <w:rPr>
          <w:rFonts w:hint="eastAsia" w:ascii="宋体" w:hAnsi="宋体" w:eastAsia="宋体" w:cs="宋体"/>
          <w:b w:val="0"/>
          <w:bCs w:val="0"/>
          <w:sz w:val="24"/>
          <w:szCs w:val="24"/>
          <w:lang w:val="en-US" w:eastAsia="zh-CN"/>
        </w:rPr>
      </w:pPr>
    </w:p>
    <w:p w14:paraId="19771FAB">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《国务院办公厅关于印发国家政务信息化项目建设管理办法的通知》</w:t>
      </w:r>
    </w:p>
    <w:p w14:paraId="07231AAE">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国办发〔2019〕57号，成文日期为2019年12月30日</w:t>
      </w:r>
    </w:p>
    <w:p w14:paraId="40DC9A6A">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·项目建设单位应当落实国家密码管理有关法律法规和标准规范的要求，同步规划、同步建设、同步运行密码保障系统并定期进行评估。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·对于不符合密码应用和网络安全要求，或者存在重大安全隐患的政务信息系统，不安排运行维护经费，项目建设单位不得新建、改建、扩建政务信息系统。</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"http://www.gov.cn/zhengce/zhengceku/2020-01/21/content_5471256.htm"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http://www.gov.cn/zhengce/zhengceku/2020-01/21/content_5471256.htm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3D48C57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《贯彻落实网络安全等级保护制度和关键信息基础设施安全保护制度的指导意见》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公网安〔2020〕1960号，印发时间为2020年7月22日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落实密码安全防护要求。网络运营者应贯彻落实《密码法》等有关法律法规规定和密码应用相关标准规范。第三级以上网络应正确、有效采用密码技术进行保护，并使用符合相关要求的密码产品和服务。第三级以上网络运营者应在网络规划、建设和运行阶段，按照密码应用安全性评估管理办法和相关标准，在网络安全等级测评中同步开展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"https://www.mps.gov.cn/n6557558/c7369310/content.html"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https://www.mps.gov.cn/n6557558/c7369310/content.html</w:t>
      </w:r>
      <w:r>
        <w:rPr>
          <w:rFonts w:hint="eastAsia" w:ascii="宋体" w:hAnsi="宋体" w:eastAsia="宋体" w:cs="宋体"/>
          <w:b w:val="0"/>
          <w:bCs w:val="0"/>
          <w:sz w:val="24"/>
          <w:szCs w:val="24"/>
          <w:lang w:val="en-US" w:eastAsia="zh-CN"/>
        </w:rPr>
        <w:fldChar w:fldCharType="end"/>
      </w:r>
    </w:p>
    <w:p w14:paraId="060FB65C">
      <w:pPr>
        <w:numPr>
          <w:ilvl w:val="0"/>
          <w:numId w:val="0"/>
        </w:numPr>
        <w:ind w:firstLine="480"/>
        <w:jc w:val="left"/>
        <w:outlineLvl w:val="1"/>
        <w:rPr>
          <w:rFonts w:hint="eastAsia" w:ascii="宋体" w:hAnsi="宋体" w:eastAsia="宋体" w:cs="宋体"/>
          <w:b w:val="0"/>
          <w:bCs w:val="0"/>
          <w:sz w:val="24"/>
          <w:szCs w:val="24"/>
          <w:lang w:val="en-US" w:eastAsia="zh-CN"/>
        </w:rPr>
      </w:pPr>
      <w:bookmarkStart w:id="12" w:name="_Toc6483"/>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Style w:val="18"/>
          <w:rFonts w:hint="eastAsia" w:ascii="宋体" w:hAnsi="宋体" w:eastAsia="宋体" w:cs="宋体"/>
          <w:sz w:val="24"/>
          <w:szCs w:val="24"/>
          <w:lang w:val="en-US" w:eastAsia="zh-CN"/>
        </w:rPr>
        <w:t>（二）社会治理密码应用</w:t>
      </w:r>
      <w:r>
        <w:rPr>
          <w:rFonts w:hint="eastAsia" w:ascii="宋体" w:hAnsi="宋体" w:eastAsia="宋体" w:cs="宋体"/>
          <w:b w:val="0"/>
          <w:bCs w:val="0"/>
          <w:sz w:val="24"/>
          <w:szCs w:val="24"/>
          <w:lang w:val="en-US" w:eastAsia="zh-CN"/>
        </w:rPr>
        <w:br w:type="textWrapping"/>
      </w:r>
      <w:bookmarkEnd w:id="12"/>
    </w:p>
    <w:p w14:paraId="6CD5C2C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《民政部关于印发＜“十四五”民政信息化发展规划＞的通知》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民发〔2021〕104号，成文日期为2021年12月23日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·全面开展国产商用密码应用，构建民政统一的密码应用基础服务平台，提供统一的数据传输、存储加密和身份认证管理等相关服务，提升密码使用和管理水平。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"http://www.gov.cn/zhengce/zhengceku/2021-12/30/content_5665421.htm"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http://www.gov.cn/zhengce/zhengceku/2021-12/30/content_5665421.htm</w:t>
      </w:r>
      <w:r>
        <w:rPr>
          <w:rFonts w:hint="eastAsia" w:ascii="宋体" w:hAnsi="宋体" w:eastAsia="宋体" w:cs="宋体"/>
          <w:b w:val="0"/>
          <w:bCs w:val="0"/>
          <w:sz w:val="24"/>
          <w:szCs w:val="24"/>
          <w:lang w:val="en-US" w:eastAsia="zh-CN"/>
        </w:rPr>
        <w:fldChar w:fldCharType="end"/>
      </w:r>
    </w:p>
    <w:p w14:paraId="06F88B30">
      <w:pPr>
        <w:numPr>
          <w:ilvl w:val="0"/>
          <w:numId w:val="0"/>
        </w:numPr>
        <w:jc w:val="left"/>
        <w:rPr>
          <w:rStyle w:val="18"/>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br w:type="textWrapping"/>
      </w:r>
      <w:r>
        <w:rPr>
          <w:rStyle w:val="18"/>
          <w:rFonts w:hint="eastAsia" w:ascii="宋体" w:hAnsi="宋体" w:eastAsia="宋体" w:cs="宋体"/>
          <w:sz w:val="24"/>
          <w:szCs w:val="24"/>
          <w:lang w:val="en-US" w:eastAsia="zh-CN"/>
        </w:rPr>
        <w:br w:type="textWrapping"/>
      </w:r>
      <w:bookmarkStart w:id="13" w:name="_Toc25491"/>
      <w:r>
        <w:rPr>
          <w:rStyle w:val="18"/>
          <w:rFonts w:hint="eastAsia" w:ascii="宋体" w:hAnsi="宋体" w:eastAsia="宋体" w:cs="宋体"/>
          <w:sz w:val="24"/>
          <w:szCs w:val="24"/>
          <w:lang w:val="en-US" w:eastAsia="zh-CN"/>
        </w:rPr>
        <w:t>（三）民生保障密码应用</w:t>
      </w:r>
      <w:r>
        <w:rPr>
          <w:rStyle w:val="18"/>
          <w:rFonts w:hint="eastAsia" w:ascii="宋体" w:hAnsi="宋体" w:eastAsia="宋体" w:cs="宋体"/>
          <w:sz w:val="24"/>
          <w:szCs w:val="24"/>
          <w:lang w:val="en-US" w:eastAsia="zh-CN"/>
        </w:rPr>
        <w:br w:type="textWrapping"/>
      </w:r>
      <w:bookmarkEnd w:id="13"/>
    </w:p>
    <w:p w14:paraId="38683C09">
      <w:pPr>
        <w:numPr>
          <w:ilvl w:val="0"/>
          <w:numId w:val="0"/>
        </w:numPr>
        <w:jc w:val="left"/>
        <w:rPr>
          <w:rStyle w:val="18"/>
          <w:rFonts w:hint="eastAsia" w:ascii="宋体" w:hAnsi="宋体" w:eastAsia="宋体" w:cs="宋体"/>
          <w:sz w:val="24"/>
          <w:szCs w:val="24"/>
          <w:lang w:val="en-US" w:eastAsia="zh-CN"/>
        </w:rPr>
      </w:pPr>
    </w:p>
    <w:p w14:paraId="679F022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《国家中医药管理局关于印发＜中医医院信息与数字化建设规范（2024版）＞的通知》</w:t>
      </w:r>
    </w:p>
    <w:p w14:paraId="3292B42B">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国中医药规财函〔2024〕259号，发文时间为2024年12月5日</w:t>
      </w:r>
    </w:p>
    <w:p w14:paraId="2604BCF9">
      <w:pPr>
        <w:numPr>
          <w:ilvl w:val="0"/>
          <w:numId w:val="0"/>
        </w:numPr>
        <w:jc w:val="left"/>
        <w:rPr>
          <w:rStyle w:val="18"/>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　　第五十条 中医医院应当按照《密码法》等有关法律法规使用商用密码保护信息系统和网络设施，同步规划、同步建设、同步运行商用密码保障系统，定期委托商用密码检测机构开展商用密码应用安全性评估。http://www.natcm.gov.cn/guicaisi/zhengcewenjian/2024-12-13/35452.html</w:t>
      </w:r>
    </w:p>
    <w:p w14:paraId="7B4F3CD6">
      <w:pPr>
        <w:numPr>
          <w:ilvl w:val="0"/>
          <w:numId w:val="0"/>
        </w:numPr>
        <w:jc w:val="left"/>
        <w:rPr>
          <w:rStyle w:val="18"/>
          <w:rFonts w:hint="eastAsia" w:ascii="宋体" w:hAnsi="宋体" w:eastAsia="宋体" w:cs="宋体"/>
          <w:sz w:val="24"/>
          <w:szCs w:val="24"/>
          <w:lang w:val="en-US" w:eastAsia="zh-CN"/>
        </w:rPr>
      </w:pPr>
    </w:p>
    <w:p w14:paraId="53785017">
      <w:pPr>
        <w:numPr>
          <w:ilvl w:val="0"/>
          <w:numId w:val="0"/>
        </w:numPr>
        <w:jc w:val="left"/>
        <w:rPr>
          <w:rStyle w:val="18"/>
          <w:rFonts w:hint="eastAsia" w:ascii="宋体" w:hAnsi="宋体" w:eastAsia="宋体" w:cs="宋体"/>
          <w:sz w:val="24"/>
          <w:szCs w:val="24"/>
          <w:lang w:val="en-US" w:eastAsia="zh-CN"/>
        </w:rPr>
      </w:pPr>
    </w:p>
    <w:p w14:paraId="22B541F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《教育部关于发布＜直播类在线教学平台安全保障要求＞教育行业标准的通知》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教科信函〔2022〕59号，成文日期为2022年12月9日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JY/T 0651-2022《</w:t>
      </w:r>
      <w:r>
        <w:rPr>
          <w:rFonts w:ascii="宋体" w:hAnsi="宋体" w:eastAsia="宋体" w:cs="宋体"/>
          <w:sz w:val="24"/>
          <w:szCs w:val="24"/>
        </w:rPr>
        <w:t>直播类在线教学平台安全保障要求</w:t>
      </w:r>
      <w:r>
        <w:rPr>
          <w:rFonts w:hint="eastAsia" w:ascii="宋体" w:hAnsi="宋体" w:eastAsia="宋体" w:cs="宋体"/>
          <w:b w:val="0"/>
          <w:bCs w:val="0"/>
          <w:sz w:val="24"/>
          <w:szCs w:val="24"/>
          <w:lang w:val="en-US" w:eastAsia="zh-CN"/>
        </w:rPr>
        <w:t>》明确，直播教学平台应依据GB/T 39786-2021及《商用密码应用安全性评估管理办法(试行)》等标准和政策文件的要求，使用商用密码进行保护，定期委托检测机构开展密码应用安全性评估，并提供密码应用安全性评估报告。</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"http://www.moe.gov.cn/srcsite/A16/s3342/202301/t20230113_1039260.html"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http://www.moe.gov.cn/srcsite/A16/s3342/202301/t20230113_1039260.html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《住房和城乡建设部关于加快住房公积金数字化发展的指导意见》</w:t>
      </w:r>
    </w:p>
    <w:p w14:paraId="2B33FFE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建金〔2022〕82号，成文日期为2022年12月7日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切实保障数据和网络安全。落实数据分类分级保护制度，明确数据使用权限、适用范围、安全保障措施等，建立健全数据安全内控机制，加大数据保护力度。加强数据全生命周期安全管理，强化安全监测、数据加密、数据脱敏、授权访问等技术保护措施。严格执行网络安全等级保护制度，定期组织开展网络安全、密码应用等安全自查和检测评估。加强网络安全基础设施建设，充分运用智能感知、威胁预测等技术，强化日常监测，不断提高网络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"https://www.gov.cn/zhengce/zhengceku/2023-01/10/content_5735961.htm"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https://www.gov.cn/zhengce/zhengceku/2023-01/10/content_5735961.htm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《国家卫生健康委、国家中医药局、国家疾控局＜关于印发“十四五”全民健康信息化规划＞的通知》</w:t>
      </w:r>
    </w:p>
    <w:p w14:paraId="6786ED7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国卫规划发〔2022〕30号，成文日期为2022年11月7日</w:t>
      </w:r>
    </w:p>
    <w:p w14:paraId="7D20348F">
      <w:pPr>
        <w:numPr>
          <w:ilvl w:val="0"/>
          <w:numId w:val="0"/>
        </w:num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构建卫生健康行业网络可信体系。建设一批医疗卫生机构商用密码应用示范，全面推广商用密码应用，完善卫生健康行业商用密码应用体系。建设各类医疗卫生机构、人员和患者可信数字身份管理系统，实现医患可信身份电子认证和电子签名，保证访问、处理数据的用户身份真实，确保网络行为可管、可控、可溯源。完善卫生健康行业电子认证服务体系，实现电子认证服务跨区域互信互认。</w:t>
      </w:r>
    </w:p>
    <w:p w14:paraId="3B34EBA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"http://www.nhc.gov.cn/guihuaxxs/s3585u/202211/49eb570ca79a42f688f9efac42e3c0f1.shtml"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http://www.nhc.gov.cn/guihuaxxs/s3585u/202211/49eb570ca79a42f688f9efac42e3c0f1.shtml</w:t>
      </w:r>
      <w:r>
        <w:rPr>
          <w:rFonts w:hint="eastAsia" w:ascii="宋体" w:hAnsi="宋体" w:eastAsia="宋体" w:cs="宋体"/>
          <w:b w:val="0"/>
          <w:bCs w:val="0"/>
          <w:sz w:val="24"/>
          <w:szCs w:val="24"/>
          <w:lang w:val="en-US" w:eastAsia="zh-CN"/>
        </w:rPr>
        <w:fldChar w:fldCharType="end"/>
      </w:r>
    </w:p>
    <w:p w14:paraId="04289B98">
      <w:pPr>
        <w:numPr>
          <w:ilvl w:val="0"/>
          <w:numId w:val="0"/>
        </w:numPr>
        <w:jc w:val="left"/>
        <w:rPr>
          <w:rFonts w:hint="eastAsia" w:ascii="宋体" w:hAnsi="宋体" w:eastAsia="宋体" w:cs="宋体"/>
          <w:b w:val="0"/>
          <w:bCs w:val="0"/>
          <w:sz w:val="24"/>
          <w:szCs w:val="24"/>
          <w:shd w:val="clear" w:color="FFFFFF" w:fill="D9D9D9"/>
          <w:lang w:val="en-US" w:eastAsia="zh-CN"/>
        </w:rPr>
      </w:pPr>
    </w:p>
    <w:p w14:paraId="55A3F71A">
      <w:pPr>
        <w:numPr>
          <w:ilvl w:val="0"/>
          <w:numId w:val="0"/>
        </w:numPr>
        <w:jc w:val="left"/>
        <w:rPr>
          <w:rFonts w:hint="eastAsia" w:ascii="宋体" w:hAnsi="宋体" w:eastAsia="宋体" w:cs="宋体"/>
          <w:b w:val="0"/>
          <w:bCs w:val="0"/>
          <w:sz w:val="24"/>
          <w:szCs w:val="24"/>
          <w:shd w:val="clear" w:color="FFFFFF" w:fill="D9D9D9"/>
          <w:lang w:val="en-US" w:eastAsia="zh-CN"/>
        </w:rPr>
      </w:pPr>
    </w:p>
    <w:p w14:paraId="1F2A256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国家卫生健康委、国家中医药局、国家疾控局《关于印发医疗卫生机构网络安全管理办法的通知》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国卫规划发〔2022〕29号，成文日期为2022年8月8日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·各医疗卫生机构应按照《密码法》等有关法律法规和密码应用相关标准规范，在网络建设过程中同步规划、同步建设、同步运行密码保护措施，使用符合相关要求的密码产品和服务。</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"http://www.gov.cn/zhengce/zhengceku/2022-08/30/content_5707404.htm"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http://www.gov.cn/zhengce/zhengceku/2022-08/30/content_5707404.htm</w:t>
      </w:r>
      <w:r>
        <w:rPr>
          <w:rFonts w:hint="eastAsia" w:ascii="宋体" w:hAnsi="宋体" w:eastAsia="宋体" w:cs="宋体"/>
          <w:b w:val="0"/>
          <w:bCs w:val="0"/>
          <w:sz w:val="24"/>
          <w:szCs w:val="24"/>
          <w:lang w:val="en-US" w:eastAsia="zh-CN"/>
        </w:rPr>
        <w:fldChar w:fldCharType="end"/>
      </w:r>
    </w:p>
    <w:p w14:paraId="7CE28CF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《国家药监局关于印发＜药品监管网络安全与信息化建设“十四五”规划＞的通知》</w:t>
      </w:r>
    </w:p>
    <w:p w14:paraId="750F935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国药监综〔2022〕23号，成文日期为2022年4月24日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·完善网络安全保障体系，健全网络安全管理制度，开展信息系统安全等级保护备案与信息安全等级保护测评、关键信息基础设施安全保护、密码应用安全性评估等工作。</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结合药监云平台服务的建设实际和业务应用的密码需求，进一步建设完善网络安全信任体系。根据各业务系统中密码应用特点，逐步完善国家局密码资源服务能力，满足相关法律法规和管理条例的要求，实现系统和数据的主动安全保护。</w:t>
      </w:r>
    </w:p>
    <w:p w14:paraId="392EBC3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建设统一认证服务系统，提升密码服务基础水准，扩大密码服务种类，提高密码服务可用性，从服务形态、部署方式、访问接口到运维管理等方面加强密码服务统一管理，为药监云平台建设提供技术先进、方案完备、高效可用的密码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"https://www.nmpa.gov.cn/xxgk/fgwj/gzwj/gzwjzh/20220511110329171.html"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https://www.nmpa.gov.cn/xxgk/fgwj/gzwj/gzwjzh/20220511110329171.html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《教育部等六部门关于推进教育新型基础设施建设构建高质量教育支撑体系的指导意见》</w:t>
      </w:r>
    </w:p>
    <w:p w14:paraId="2A8BC09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教科信〔2021〕2号，成文日期为2021年7月1日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·推动建设教育系统密码基础设施和支撑平台，建立完善全国统一的身份认证体系，推动移动终端的多因子认证。利用国产商用密码技术推动数据传输和存储加密，提升数据保障能力。</w:t>
      </w:r>
    </w:p>
    <w:p w14:paraId="7CD4D1F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"http://www.gov.cn/zhengce/zhengceku/2021-07/22/content_5626544.htm"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http://www.gov.cn/zhengce/zhengceku/2021-07/22/content_5626544.htm</w:t>
      </w:r>
      <w:r>
        <w:rPr>
          <w:rFonts w:hint="eastAsia" w:ascii="宋体" w:hAnsi="宋体" w:eastAsia="宋体" w:cs="宋体"/>
          <w:b w:val="0"/>
          <w:bCs w:val="0"/>
          <w:sz w:val="24"/>
          <w:szCs w:val="24"/>
          <w:lang w:val="en-US" w:eastAsia="zh-CN"/>
        </w:rPr>
        <w:fldChar w:fldCharType="end"/>
      </w:r>
    </w:p>
    <w:p w14:paraId="2BD7FA11">
      <w:pPr>
        <w:numPr>
          <w:ilvl w:val="0"/>
          <w:numId w:val="0"/>
        </w:numPr>
        <w:jc w:val="left"/>
        <w:rPr>
          <w:rFonts w:hint="eastAsia" w:ascii="宋体" w:hAnsi="宋体" w:eastAsia="宋体" w:cs="宋体"/>
          <w:b w:val="0"/>
          <w:bCs w:val="0"/>
          <w:sz w:val="24"/>
          <w:szCs w:val="24"/>
          <w:lang w:val="en-US" w:eastAsia="zh-CN"/>
        </w:rPr>
      </w:pPr>
    </w:p>
    <w:p w14:paraId="39CBE7ED">
      <w:pPr>
        <w:numPr>
          <w:ilvl w:val="0"/>
          <w:numId w:val="0"/>
        </w:numPr>
        <w:jc w:val="left"/>
        <w:rPr>
          <w:rFonts w:hint="eastAsia" w:ascii="宋体" w:hAnsi="宋体" w:eastAsia="宋体" w:cs="宋体"/>
          <w:b w:val="0"/>
          <w:bCs w:val="0"/>
          <w:sz w:val="24"/>
          <w:szCs w:val="24"/>
          <w:lang w:val="en-US" w:eastAsia="zh-CN"/>
        </w:rPr>
      </w:pPr>
    </w:p>
    <w:p w14:paraId="5E24431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《教育部关于加强新时代教育管理信息化工作的通知》</w:t>
      </w:r>
    </w:p>
    <w:p w14:paraId="0FAD6EB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教科信函〔2021〕13号，成文日期为2021年3月10日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构建数字认证体系。完善教育数字认证基础支撑体系总体规划，建立统一的教育系统密码基础设施和支撑平台。建设基于“一校一码、一人一号”的数字认证互联互通互认体系，实现跨平台的单点登录。推动以智能终端为载体的多因子认证，探索手机短信、移动协同签名等多种认证方式，提升服务体验。数字认证使用的密码技术和产品应符合国家密码管理部门要求。探索推动区块链技术在招生考试、学历认证、学分互认、求职就业等领域的应用，提高数字认证可信性。</w:t>
      </w:r>
    </w:p>
    <w:p w14:paraId="3C8D5F3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"http://www.moe.gov.cn/srcsite/A16/s3342/202103/t20210322_521669.html"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http://www.moe.gov.cn/srcsite/A16/s3342/202103/t20210322_521669.html</w:t>
      </w:r>
      <w:r>
        <w:rPr>
          <w:rFonts w:hint="eastAsia" w:ascii="宋体" w:hAnsi="宋体" w:eastAsia="宋体" w:cs="宋体"/>
          <w:b w:val="0"/>
          <w:bCs w:val="0"/>
          <w:sz w:val="24"/>
          <w:szCs w:val="24"/>
          <w:lang w:val="en-US" w:eastAsia="zh-CN"/>
        </w:rPr>
        <w:fldChar w:fldCharType="end"/>
      </w:r>
    </w:p>
    <w:p w14:paraId="34C847C0">
      <w:pPr>
        <w:numPr>
          <w:ilvl w:val="0"/>
          <w:numId w:val="0"/>
        </w:numPr>
        <w:jc w:val="left"/>
        <w:rPr>
          <w:rFonts w:hint="eastAsia" w:ascii="宋体" w:hAnsi="宋体" w:eastAsia="宋体" w:cs="宋体"/>
          <w:b w:val="0"/>
          <w:bCs w:val="0"/>
          <w:sz w:val="24"/>
          <w:szCs w:val="24"/>
          <w:lang w:val="en-US" w:eastAsia="zh-CN"/>
        </w:rPr>
      </w:pPr>
    </w:p>
    <w:p w14:paraId="5ED6B21C">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i w:val="0"/>
          <w:iCs w:val="0"/>
          <w:sz w:val="24"/>
          <w:szCs w:val="24"/>
          <w:lang w:val="en-US" w:eastAsia="zh-CN"/>
        </w:rPr>
        <w:t>《关于加快推进卫生健康行业电子证照建设与应用的指导意见》</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国卫办规划发〔2020〕17号，成文日期为2020年10月16日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强化电子证照系统安全保障。各级卫生健康行政部门要强化风险防控能力，建立安全制度，规范系统应用，依法依规使用卫生健康行业电子证照，建立卫生健康行业电子证照系统国产密码应用保障体系和安全制度，对涉及国家安全、公共安全、个人隐私等数据提供安全支撑。做好卫生健康行业电子证照数据备份工作，保障系统安全互联、信息安全共享。</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"http://www.nhc.gov.cn/guihuaxxs/gongwen12/202010/64d370e60e6647709d847300fec16abe.shtml"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http://www.nhc.gov.cn/guihuaxxs/gongwen12/202010/64d370e60e6647709d847300fec16abe.shtml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i w:val="0"/>
          <w:iCs w:val="0"/>
          <w:sz w:val="24"/>
          <w:szCs w:val="24"/>
          <w:lang w:val="en-US" w:eastAsia="zh-CN"/>
        </w:rPr>
        <w:t>《关于加强全民健康信息标准化体系建设的意见》</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国卫办规划发〔2020〕14号，成文日期为2020年09月27日</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　　</w:t>
      </w:r>
      <w:r>
        <w:rPr>
          <w:rFonts w:hint="eastAsia" w:ascii="宋体" w:hAnsi="宋体" w:eastAsia="宋体" w:cs="宋体"/>
          <w:b w:val="0"/>
          <w:bCs w:val="0"/>
          <w:sz w:val="24"/>
          <w:szCs w:val="24"/>
          <w:lang w:val="en-US" w:eastAsia="zh-CN"/>
        </w:rPr>
        <w:t>·完善行业网络安全标准体系。贯彻《中华人民共和国网络安全法》，推进网络安全等级保护、商用密码应用、关键信息基础设施保护等制度在行业落地实施，研究编制卫生健康行业网络安全技术、医疗卫生机构安全能力评估、关键信息基础设施识别认定和保护等标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"http://www.nhc.gov.cn/guihuaxxs/pqt/202010/4114443b613546148b275f191da4662b.shtml"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http://www.nhc.gov.cn/guihuaxxs/pqt/202010/4114443b613546148b275f191da4662b.shtml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《国家卫生健康委办公厅关于做好信息化支撑常态化疫情防控工作的通知》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国卫办规划函〔2020〕506号，成文日期为2020年6月28日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·加大网络安全投入。各级卫生健康部门要按照中央网信办要求提高信息化建设中网络安全投入的比例，提升信息化产品和服务安全可控水平，推进商用密码应用的深度和广度。</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"http://www.nhc.gov.cn/guihuaxxs/s10743/202006/5a2bc24e181a43a6b242a86706c361a3.shtml"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http://www.nhc.gov.cn/guihuaxxs/s10743/202006/5a2bc24e181a43a6b242a86706c361a3.shtml</w:t>
      </w:r>
      <w:r>
        <w:rPr>
          <w:rFonts w:hint="eastAsia" w:ascii="宋体" w:hAnsi="宋体" w:eastAsia="宋体" w:cs="宋体"/>
          <w:b w:val="0"/>
          <w:bCs w:val="0"/>
          <w:sz w:val="24"/>
          <w:szCs w:val="24"/>
          <w:lang w:val="en-US" w:eastAsia="zh-CN"/>
        </w:rPr>
        <w:fldChar w:fldCharType="end"/>
      </w:r>
    </w:p>
    <w:p w14:paraId="3F101A6E">
      <w:pPr>
        <w:numPr>
          <w:ilvl w:val="0"/>
          <w:numId w:val="0"/>
        </w:numPr>
        <w:jc w:val="left"/>
        <w:rPr>
          <w:rFonts w:hint="eastAsia" w:ascii="宋体" w:hAnsi="宋体" w:eastAsia="宋体" w:cs="宋体"/>
          <w:b w:val="0"/>
          <w:bCs w:val="0"/>
          <w:sz w:val="24"/>
          <w:szCs w:val="24"/>
          <w:lang w:val="en-US" w:eastAsia="zh-CN"/>
        </w:rPr>
      </w:pPr>
    </w:p>
    <w:p w14:paraId="7484D882">
      <w:pPr>
        <w:numPr>
          <w:ilvl w:val="0"/>
          <w:numId w:val="0"/>
        </w:numPr>
        <w:jc w:val="left"/>
        <w:rPr>
          <w:rFonts w:hint="eastAsia" w:ascii="宋体" w:hAnsi="宋体" w:eastAsia="宋体" w:cs="宋体"/>
          <w:b w:val="0"/>
          <w:bCs w:val="0"/>
          <w:sz w:val="24"/>
          <w:szCs w:val="24"/>
          <w:lang w:val="en-US" w:eastAsia="zh-CN"/>
        </w:rPr>
      </w:pPr>
    </w:p>
    <w:p w14:paraId="0320342A">
      <w:pPr>
        <w:numPr>
          <w:ilvl w:val="0"/>
          <w:numId w:val="0"/>
        </w:numPr>
        <w:jc w:val="left"/>
        <w:rPr>
          <w:rFonts w:hint="eastAsia" w:ascii="宋体" w:hAnsi="宋体" w:eastAsia="宋体" w:cs="宋体"/>
          <w:b w:val="0"/>
          <w:bCs w:val="0"/>
          <w:sz w:val="24"/>
          <w:szCs w:val="24"/>
          <w:lang w:val="en-US" w:eastAsia="zh-CN"/>
        </w:rPr>
      </w:pPr>
    </w:p>
    <w:p w14:paraId="7D171B33">
      <w:pPr>
        <w:numPr>
          <w:ilvl w:val="0"/>
          <w:numId w:val="0"/>
        </w:numPr>
        <w:jc w:val="left"/>
        <w:rPr>
          <w:rFonts w:hint="eastAsia" w:ascii="宋体" w:hAnsi="宋体" w:eastAsia="宋体" w:cs="宋体"/>
          <w:b w:val="0"/>
          <w:bCs w:val="0"/>
          <w:sz w:val="24"/>
          <w:szCs w:val="24"/>
          <w:lang w:val="en-US" w:eastAsia="zh-CN"/>
        </w:rPr>
      </w:pPr>
    </w:p>
    <w:p w14:paraId="3DF43AF9">
      <w:pPr>
        <w:numPr>
          <w:ilvl w:val="0"/>
          <w:numId w:val="0"/>
        </w:numPr>
        <w:jc w:val="left"/>
        <w:rPr>
          <w:rFonts w:hint="eastAsia" w:ascii="宋体" w:hAnsi="宋体" w:eastAsia="宋体" w:cs="宋体"/>
          <w:b w:val="0"/>
          <w:bCs w:val="0"/>
          <w:sz w:val="24"/>
          <w:szCs w:val="24"/>
          <w:lang w:val="en-US" w:eastAsia="zh-CN"/>
        </w:rPr>
      </w:pPr>
    </w:p>
    <w:p w14:paraId="0D266C1D">
      <w:pPr>
        <w:numPr>
          <w:ilvl w:val="0"/>
          <w:numId w:val="0"/>
        </w:numPr>
        <w:jc w:val="left"/>
        <w:rPr>
          <w:rFonts w:hint="eastAsia" w:ascii="宋体" w:hAnsi="宋体" w:eastAsia="宋体" w:cs="宋体"/>
          <w:b w:val="0"/>
          <w:bCs w:val="0"/>
          <w:sz w:val="24"/>
          <w:szCs w:val="24"/>
          <w:lang w:val="en-US" w:eastAsia="zh-CN"/>
        </w:rPr>
      </w:pPr>
    </w:p>
    <w:p w14:paraId="7F618DEA">
      <w:pPr>
        <w:numPr>
          <w:ilvl w:val="0"/>
          <w:numId w:val="0"/>
        </w:numPr>
        <w:jc w:val="left"/>
        <w:rPr>
          <w:rFonts w:hint="eastAsia" w:ascii="宋体" w:hAnsi="宋体" w:eastAsia="宋体" w:cs="宋体"/>
          <w:b w:val="0"/>
          <w:bCs w:val="0"/>
          <w:sz w:val="24"/>
          <w:szCs w:val="24"/>
          <w:lang w:val="en-US" w:eastAsia="zh-CN"/>
        </w:rPr>
      </w:pPr>
    </w:p>
    <w:p w14:paraId="4D51816E">
      <w:pPr>
        <w:numPr>
          <w:ilvl w:val="0"/>
          <w:numId w:val="0"/>
        </w:numPr>
        <w:jc w:val="left"/>
        <w:rPr>
          <w:rFonts w:hint="eastAsia" w:ascii="宋体" w:hAnsi="宋体" w:eastAsia="宋体" w:cs="宋体"/>
          <w:b w:val="0"/>
          <w:bCs w:val="0"/>
          <w:sz w:val="24"/>
          <w:szCs w:val="24"/>
          <w:lang w:val="en-US" w:eastAsia="zh-CN"/>
        </w:rPr>
      </w:pPr>
    </w:p>
    <w:p w14:paraId="3181AFB4">
      <w:pPr>
        <w:numPr>
          <w:ilvl w:val="0"/>
          <w:numId w:val="0"/>
        </w:numPr>
        <w:jc w:val="left"/>
        <w:rPr>
          <w:rFonts w:hint="eastAsia" w:ascii="宋体" w:hAnsi="宋体" w:eastAsia="宋体" w:cs="宋体"/>
          <w:b w:val="0"/>
          <w:bCs w:val="0"/>
          <w:sz w:val="24"/>
          <w:szCs w:val="24"/>
          <w:lang w:val="en-US" w:eastAsia="zh-CN"/>
        </w:rPr>
      </w:pPr>
    </w:p>
    <w:p w14:paraId="153C5999">
      <w:pPr>
        <w:numPr>
          <w:ilvl w:val="0"/>
          <w:numId w:val="0"/>
        </w:numPr>
        <w:jc w:val="left"/>
        <w:rPr>
          <w:rFonts w:hint="eastAsia" w:ascii="宋体" w:hAnsi="宋体" w:eastAsia="宋体" w:cs="宋体"/>
          <w:b w:val="0"/>
          <w:bCs w:val="0"/>
          <w:sz w:val="24"/>
          <w:szCs w:val="24"/>
          <w:lang w:val="en-US" w:eastAsia="zh-CN"/>
        </w:rPr>
      </w:pPr>
    </w:p>
    <w:p w14:paraId="7621BD76">
      <w:pPr>
        <w:numPr>
          <w:ilvl w:val="0"/>
          <w:numId w:val="0"/>
        </w:numPr>
        <w:jc w:val="left"/>
        <w:rPr>
          <w:rFonts w:hint="eastAsia" w:ascii="宋体" w:hAnsi="宋体" w:eastAsia="宋体" w:cs="宋体"/>
          <w:b w:val="0"/>
          <w:bCs w:val="0"/>
          <w:sz w:val="24"/>
          <w:szCs w:val="24"/>
          <w:lang w:val="en-US" w:eastAsia="zh-CN"/>
        </w:rPr>
      </w:pPr>
    </w:p>
    <w:p w14:paraId="19105FD4">
      <w:pPr>
        <w:numPr>
          <w:ilvl w:val="0"/>
          <w:numId w:val="0"/>
        </w:numPr>
        <w:jc w:val="left"/>
        <w:rPr>
          <w:rFonts w:hint="eastAsia" w:ascii="宋体" w:hAnsi="宋体" w:eastAsia="宋体" w:cs="宋体"/>
          <w:b w:val="0"/>
          <w:bCs w:val="0"/>
          <w:sz w:val="24"/>
          <w:szCs w:val="24"/>
          <w:lang w:val="en-US" w:eastAsia="zh-CN"/>
        </w:rPr>
      </w:pPr>
    </w:p>
    <w:p w14:paraId="544F3EC4">
      <w:pPr>
        <w:numPr>
          <w:ilvl w:val="0"/>
          <w:numId w:val="0"/>
        </w:numPr>
        <w:jc w:val="left"/>
        <w:rPr>
          <w:rFonts w:hint="eastAsia" w:ascii="宋体" w:hAnsi="宋体" w:eastAsia="宋体" w:cs="宋体"/>
          <w:b w:val="0"/>
          <w:bCs w:val="0"/>
          <w:sz w:val="24"/>
          <w:szCs w:val="24"/>
          <w:lang w:val="en-US" w:eastAsia="zh-CN"/>
        </w:rPr>
      </w:pPr>
    </w:p>
    <w:p w14:paraId="62265AB5">
      <w:pPr>
        <w:numPr>
          <w:ilvl w:val="0"/>
          <w:numId w:val="0"/>
        </w:numPr>
        <w:jc w:val="left"/>
        <w:rPr>
          <w:rFonts w:hint="eastAsia" w:ascii="宋体" w:hAnsi="宋体" w:eastAsia="宋体" w:cs="宋体"/>
          <w:b w:val="0"/>
          <w:bCs w:val="0"/>
          <w:sz w:val="24"/>
          <w:szCs w:val="24"/>
          <w:lang w:val="en-US" w:eastAsia="zh-CN"/>
        </w:rPr>
      </w:pPr>
    </w:p>
    <w:p w14:paraId="7915D607">
      <w:pPr>
        <w:numPr>
          <w:ilvl w:val="0"/>
          <w:numId w:val="0"/>
        </w:numPr>
        <w:jc w:val="left"/>
        <w:rPr>
          <w:rFonts w:hint="eastAsia" w:ascii="宋体" w:hAnsi="宋体" w:eastAsia="宋体" w:cs="宋体"/>
          <w:b w:val="0"/>
          <w:bCs w:val="0"/>
          <w:sz w:val="24"/>
          <w:szCs w:val="24"/>
          <w:lang w:val="en-US" w:eastAsia="zh-CN"/>
        </w:rPr>
      </w:pPr>
    </w:p>
    <w:p w14:paraId="6406706B">
      <w:pPr>
        <w:numPr>
          <w:ilvl w:val="0"/>
          <w:numId w:val="0"/>
        </w:numPr>
        <w:jc w:val="left"/>
        <w:rPr>
          <w:rFonts w:hint="eastAsia" w:ascii="宋体" w:hAnsi="宋体" w:eastAsia="宋体" w:cs="宋体"/>
          <w:b w:val="0"/>
          <w:bCs w:val="0"/>
          <w:sz w:val="24"/>
          <w:szCs w:val="24"/>
          <w:lang w:val="en-US" w:eastAsia="zh-CN"/>
        </w:rPr>
      </w:pPr>
    </w:p>
    <w:p w14:paraId="1312A528">
      <w:pPr>
        <w:numPr>
          <w:ilvl w:val="0"/>
          <w:numId w:val="0"/>
        </w:numPr>
        <w:jc w:val="left"/>
        <w:rPr>
          <w:rFonts w:hint="eastAsia" w:ascii="宋体" w:hAnsi="宋体" w:eastAsia="宋体" w:cs="宋体"/>
          <w:b w:val="0"/>
          <w:bCs w:val="0"/>
          <w:sz w:val="24"/>
          <w:szCs w:val="24"/>
          <w:lang w:val="en-US" w:eastAsia="zh-CN"/>
        </w:rPr>
      </w:pPr>
    </w:p>
    <w:p w14:paraId="3B8012A7">
      <w:pPr>
        <w:numPr>
          <w:ilvl w:val="0"/>
          <w:numId w:val="0"/>
        </w:numPr>
        <w:jc w:val="left"/>
        <w:rPr>
          <w:rFonts w:hint="eastAsia" w:ascii="宋体" w:hAnsi="宋体" w:eastAsia="宋体" w:cs="宋体"/>
          <w:b w:val="0"/>
          <w:bCs w:val="0"/>
          <w:sz w:val="24"/>
          <w:szCs w:val="24"/>
          <w:lang w:val="en-US" w:eastAsia="zh-CN"/>
        </w:rPr>
      </w:pPr>
    </w:p>
    <w:p w14:paraId="637E2B6B">
      <w:pPr>
        <w:numPr>
          <w:ilvl w:val="0"/>
          <w:numId w:val="0"/>
        </w:numPr>
        <w:jc w:val="left"/>
        <w:rPr>
          <w:rFonts w:hint="eastAsia" w:ascii="宋体" w:hAnsi="宋体" w:eastAsia="宋体" w:cs="宋体"/>
          <w:b w:val="0"/>
          <w:bCs w:val="0"/>
          <w:sz w:val="24"/>
          <w:szCs w:val="24"/>
          <w:lang w:val="en-US" w:eastAsia="zh-CN"/>
        </w:rPr>
      </w:pPr>
    </w:p>
    <w:p w14:paraId="102CD226">
      <w:pPr>
        <w:numPr>
          <w:ilvl w:val="0"/>
          <w:numId w:val="0"/>
        </w:numPr>
        <w:jc w:val="left"/>
        <w:rPr>
          <w:rFonts w:hint="eastAsia" w:ascii="宋体" w:hAnsi="宋体" w:eastAsia="宋体" w:cs="宋体"/>
          <w:b w:val="0"/>
          <w:bCs w:val="0"/>
          <w:sz w:val="24"/>
          <w:szCs w:val="24"/>
          <w:lang w:val="en-US" w:eastAsia="zh-CN"/>
        </w:rPr>
      </w:pPr>
    </w:p>
    <w:p w14:paraId="1264284F">
      <w:pPr>
        <w:numPr>
          <w:ilvl w:val="0"/>
          <w:numId w:val="0"/>
        </w:numPr>
        <w:jc w:val="left"/>
        <w:rPr>
          <w:rFonts w:hint="eastAsia" w:ascii="宋体" w:hAnsi="宋体" w:eastAsia="宋体" w:cs="宋体"/>
          <w:b w:val="0"/>
          <w:bCs w:val="0"/>
          <w:sz w:val="24"/>
          <w:szCs w:val="24"/>
          <w:lang w:val="en-US" w:eastAsia="zh-CN"/>
        </w:rPr>
      </w:pPr>
    </w:p>
    <w:p w14:paraId="47A8BD56">
      <w:pPr>
        <w:numPr>
          <w:ilvl w:val="0"/>
          <w:numId w:val="0"/>
        </w:numPr>
        <w:jc w:val="left"/>
        <w:rPr>
          <w:rFonts w:hint="eastAsia" w:ascii="宋体" w:hAnsi="宋体" w:eastAsia="宋体" w:cs="宋体"/>
          <w:b w:val="0"/>
          <w:bCs w:val="0"/>
          <w:sz w:val="24"/>
          <w:szCs w:val="24"/>
          <w:lang w:val="en-US" w:eastAsia="zh-CN"/>
        </w:rPr>
      </w:pPr>
    </w:p>
    <w:p w14:paraId="5DE219E7">
      <w:pPr>
        <w:numPr>
          <w:ilvl w:val="0"/>
          <w:numId w:val="0"/>
        </w:numPr>
        <w:jc w:val="left"/>
        <w:rPr>
          <w:rFonts w:hint="eastAsia" w:ascii="宋体" w:hAnsi="宋体" w:eastAsia="宋体" w:cs="宋体"/>
          <w:b w:val="0"/>
          <w:bCs w:val="0"/>
          <w:sz w:val="24"/>
          <w:szCs w:val="24"/>
          <w:lang w:val="en-US" w:eastAsia="zh-CN"/>
        </w:rPr>
      </w:pPr>
    </w:p>
    <w:p w14:paraId="5EE0E0AE">
      <w:pPr>
        <w:numPr>
          <w:ilvl w:val="0"/>
          <w:numId w:val="0"/>
        </w:numPr>
        <w:jc w:val="left"/>
        <w:rPr>
          <w:rFonts w:hint="eastAsia" w:ascii="宋体" w:hAnsi="宋体" w:eastAsia="宋体" w:cs="宋体"/>
          <w:b w:val="0"/>
          <w:bCs w:val="0"/>
          <w:sz w:val="24"/>
          <w:szCs w:val="24"/>
          <w:lang w:val="en-US" w:eastAsia="zh-CN"/>
        </w:rPr>
      </w:pPr>
    </w:p>
    <w:p w14:paraId="1AE971A4">
      <w:pPr>
        <w:numPr>
          <w:ilvl w:val="0"/>
          <w:numId w:val="0"/>
        </w:numPr>
        <w:jc w:val="left"/>
        <w:rPr>
          <w:rFonts w:hint="eastAsia" w:ascii="宋体" w:hAnsi="宋体" w:eastAsia="宋体" w:cs="宋体"/>
          <w:b w:val="0"/>
          <w:bCs w:val="0"/>
          <w:sz w:val="24"/>
          <w:szCs w:val="24"/>
          <w:lang w:val="en-US" w:eastAsia="zh-CN"/>
        </w:rPr>
      </w:pPr>
    </w:p>
    <w:p w14:paraId="562E08D4">
      <w:pPr>
        <w:numPr>
          <w:ilvl w:val="0"/>
          <w:numId w:val="0"/>
        </w:numPr>
        <w:jc w:val="left"/>
        <w:rPr>
          <w:rFonts w:hint="eastAsia" w:ascii="宋体" w:hAnsi="宋体" w:eastAsia="宋体" w:cs="宋体"/>
          <w:b w:val="0"/>
          <w:bCs w:val="0"/>
          <w:sz w:val="24"/>
          <w:szCs w:val="24"/>
          <w:lang w:val="en-US" w:eastAsia="zh-CN"/>
        </w:rPr>
      </w:pPr>
    </w:p>
    <w:p w14:paraId="096BAB84">
      <w:pPr>
        <w:numPr>
          <w:ilvl w:val="0"/>
          <w:numId w:val="0"/>
        </w:numPr>
        <w:jc w:val="left"/>
        <w:rPr>
          <w:rFonts w:hint="eastAsia" w:ascii="宋体" w:hAnsi="宋体" w:eastAsia="宋体" w:cs="宋体"/>
          <w:b w:val="0"/>
          <w:bCs w:val="0"/>
          <w:sz w:val="24"/>
          <w:szCs w:val="24"/>
          <w:lang w:val="en-US" w:eastAsia="zh-CN"/>
        </w:rPr>
      </w:pPr>
    </w:p>
    <w:p w14:paraId="0EB6BB09">
      <w:pPr>
        <w:numPr>
          <w:ilvl w:val="0"/>
          <w:numId w:val="0"/>
        </w:numPr>
        <w:jc w:val="left"/>
        <w:rPr>
          <w:rFonts w:hint="eastAsia" w:ascii="宋体" w:hAnsi="宋体" w:eastAsia="宋体" w:cs="宋体"/>
          <w:b w:val="0"/>
          <w:bCs w:val="0"/>
          <w:sz w:val="24"/>
          <w:szCs w:val="24"/>
          <w:lang w:val="en-US" w:eastAsia="zh-CN"/>
        </w:rPr>
      </w:pPr>
    </w:p>
    <w:p w14:paraId="139BD9CA">
      <w:pPr>
        <w:numPr>
          <w:ilvl w:val="0"/>
          <w:numId w:val="0"/>
        </w:numPr>
        <w:jc w:val="left"/>
        <w:rPr>
          <w:rFonts w:hint="eastAsia" w:ascii="宋体" w:hAnsi="宋体" w:eastAsia="宋体" w:cs="宋体"/>
          <w:b w:val="0"/>
          <w:bCs w:val="0"/>
          <w:sz w:val="24"/>
          <w:szCs w:val="24"/>
          <w:lang w:val="en-US" w:eastAsia="zh-CN"/>
        </w:rPr>
      </w:pPr>
    </w:p>
    <w:p w14:paraId="61BE030D">
      <w:pPr>
        <w:numPr>
          <w:ilvl w:val="0"/>
          <w:numId w:val="0"/>
        </w:numPr>
        <w:jc w:val="left"/>
        <w:rPr>
          <w:rFonts w:hint="eastAsia" w:ascii="宋体" w:hAnsi="宋体" w:eastAsia="宋体" w:cs="宋体"/>
          <w:b w:val="0"/>
          <w:bCs w:val="0"/>
          <w:sz w:val="24"/>
          <w:szCs w:val="24"/>
          <w:lang w:val="en-US" w:eastAsia="zh-CN"/>
        </w:rPr>
      </w:pPr>
    </w:p>
    <w:p w14:paraId="21AE0CD3">
      <w:pPr>
        <w:numPr>
          <w:ilvl w:val="0"/>
          <w:numId w:val="0"/>
        </w:numPr>
        <w:jc w:val="left"/>
        <w:rPr>
          <w:rFonts w:hint="eastAsia" w:ascii="宋体" w:hAnsi="宋体" w:eastAsia="宋体" w:cs="宋体"/>
          <w:b w:val="0"/>
          <w:bCs w:val="0"/>
          <w:sz w:val="24"/>
          <w:szCs w:val="24"/>
          <w:lang w:val="en-US" w:eastAsia="zh-CN"/>
        </w:rPr>
      </w:pPr>
    </w:p>
    <w:p w14:paraId="72728A67">
      <w:pPr>
        <w:numPr>
          <w:ilvl w:val="0"/>
          <w:numId w:val="0"/>
        </w:numPr>
        <w:jc w:val="left"/>
        <w:rPr>
          <w:rFonts w:hint="eastAsia" w:ascii="宋体" w:hAnsi="宋体" w:eastAsia="宋体" w:cs="宋体"/>
          <w:b w:val="0"/>
          <w:bCs w:val="0"/>
          <w:sz w:val="24"/>
          <w:szCs w:val="24"/>
          <w:lang w:val="en-US" w:eastAsia="zh-CN"/>
        </w:rPr>
      </w:pPr>
    </w:p>
    <w:p w14:paraId="3792EB4F">
      <w:pPr>
        <w:numPr>
          <w:ilvl w:val="0"/>
          <w:numId w:val="0"/>
        </w:numPr>
        <w:jc w:val="left"/>
        <w:rPr>
          <w:rFonts w:hint="eastAsia" w:ascii="宋体" w:hAnsi="宋体" w:eastAsia="宋体" w:cs="宋体"/>
          <w:b w:val="0"/>
          <w:bCs w:val="0"/>
          <w:sz w:val="24"/>
          <w:szCs w:val="24"/>
          <w:lang w:val="en-US" w:eastAsia="zh-CN"/>
        </w:rPr>
      </w:pPr>
    </w:p>
    <w:p w14:paraId="16485EF8">
      <w:pPr>
        <w:numPr>
          <w:ilvl w:val="0"/>
          <w:numId w:val="0"/>
        </w:numPr>
        <w:jc w:val="left"/>
        <w:rPr>
          <w:rFonts w:hint="eastAsia" w:ascii="宋体" w:hAnsi="宋体" w:eastAsia="宋体" w:cs="宋体"/>
          <w:b w:val="0"/>
          <w:bCs w:val="0"/>
          <w:sz w:val="24"/>
          <w:szCs w:val="24"/>
          <w:lang w:val="en-US" w:eastAsia="zh-CN"/>
        </w:rPr>
      </w:pPr>
    </w:p>
    <w:p w14:paraId="2A40EBF5">
      <w:pPr>
        <w:numPr>
          <w:ilvl w:val="0"/>
          <w:numId w:val="0"/>
        </w:numPr>
        <w:jc w:val="left"/>
        <w:rPr>
          <w:rFonts w:hint="eastAsia" w:ascii="宋体" w:hAnsi="宋体" w:eastAsia="宋体" w:cs="宋体"/>
          <w:b w:val="0"/>
          <w:bCs w:val="0"/>
          <w:sz w:val="24"/>
          <w:szCs w:val="24"/>
          <w:lang w:val="en-US" w:eastAsia="zh-CN"/>
        </w:rPr>
      </w:pPr>
    </w:p>
    <w:p w14:paraId="61DCCDC4">
      <w:pPr>
        <w:numPr>
          <w:ilvl w:val="0"/>
          <w:numId w:val="0"/>
        </w:numPr>
        <w:jc w:val="left"/>
        <w:rPr>
          <w:rFonts w:hint="eastAsia" w:ascii="宋体" w:hAnsi="宋体" w:eastAsia="宋体" w:cs="宋体"/>
          <w:b w:val="0"/>
          <w:bCs w:val="0"/>
          <w:sz w:val="24"/>
          <w:szCs w:val="24"/>
          <w:lang w:val="en-US" w:eastAsia="zh-CN"/>
        </w:rPr>
      </w:pPr>
    </w:p>
    <w:p w14:paraId="449CB0B9">
      <w:pPr>
        <w:numPr>
          <w:ilvl w:val="0"/>
          <w:numId w:val="0"/>
        </w:numPr>
        <w:jc w:val="left"/>
        <w:rPr>
          <w:rFonts w:hint="eastAsia" w:ascii="宋体" w:hAnsi="宋体" w:eastAsia="宋体" w:cs="宋体"/>
          <w:b w:val="0"/>
          <w:bCs w:val="0"/>
          <w:sz w:val="24"/>
          <w:szCs w:val="24"/>
          <w:lang w:val="en-US" w:eastAsia="zh-CN"/>
        </w:rPr>
      </w:pPr>
    </w:p>
    <w:p w14:paraId="501947F3">
      <w:pPr>
        <w:numPr>
          <w:ilvl w:val="0"/>
          <w:numId w:val="0"/>
        </w:numPr>
        <w:jc w:val="left"/>
        <w:rPr>
          <w:rFonts w:hint="eastAsia" w:ascii="宋体" w:hAnsi="宋体" w:eastAsia="宋体" w:cs="宋体"/>
          <w:b w:val="0"/>
          <w:bCs w:val="0"/>
          <w:sz w:val="24"/>
          <w:szCs w:val="24"/>
          <w:lang w:val="en-US" w:eastAsia="zh-CN"/>
        </w:rPr>
      </w:pPr>
    </w:p>
    <w:p w14:paraId="5FA97148">
      <w:pPr>
        <w:numPr>
          <w:ilvl w:val="0"/>
          <w:numId w:val="0"/>
        </w:numPr>
        <w:jc w:val="left"/>
        <w:rPr>
          <w:rFonts w:hint="eastAsia" w:ascii="宋体" w:hAnsi="宋体" w:eastAsia="宋体" w:cs="宋体"/>
          <w:b w:val="0"/>
          <w:bCs w:val="0"/>
          <w:sz w:val="24"/>
          <w:szCs w:val="24"/>
          <w:lang w:val="en-US" w:eastAsia="zh-CN"/>
        </w:rPr>
      </w:pPr>
    </w:p>
    <w:p w14:paraId="0225CD07">
      <w:pPr>
        <w:numPr>
          <w:ilvl w:val="0"/>
          <w:numId w:val="0"/>
        </w:numPr>
        <w:jc w:val="left"/>
        <w:rPr>
          <w:rFonts w:hint="eastAsia" w:ascii="宋体" w:hAnsi="宋体" w:eastAsia="宋体" w:cs="宋体"/>
          <w:b w:val="0"/>
          <w:bCs w:val="0"/>
          <w:sz w:val="24"/>
          <w:szCs w:val="24"/>
          <w:lang w:val="en-US" w:eastAsia="zh-CN"/>
        </w:rPr>
      </w:pPr>
    </w:p>
    <w:p w14:paraId="6B4388B5">
      <w:pPr>
        <w:numPr>
          <w:ilvl w:val="0"/>
          <w:numId w:val="0"/>
        </w:numPr>
        <w:jc w:val="left"/>
        <w:rPr>
          <w:rFonts w:hint="eastAsia" w:ascii="宋体" w:hAnsi="宋体" w:eastAsia="宋体" w:cs="宋体"/>
          <w:b w:val="0"/>
          <w:bCs w:val="0"/>
          <w:sz w:val="24"/>
          <w:szCs w:val="24"/>
          <w:lang w:val="en-US" w:eastAsia="zh-CN"/>
        </w:rPr>
      </w:pPr>
    </w:p>
    <w:p w14:paraId="218A056D">
      <w:pPr>
        <w:pStyle w:val="2"/>
        <w:bidi w:val="0"/>
        <w:rPr>
          <w:rFonts w:hint="eastAsia" w:ascii="宋体" w:hAnsi="宋体" w:eastAsia="宋体" w:cs="宋体"/>
          <w:b w:val="0"/>
          <w:bCs w:val="0"/>
          <w:sz w:val="24"/>
          <w:szCs w:val="24"/>
          <w:shd w:val="clear" w:color="FFFFFF" w:fill="D9D9D9"/>
          <w:lang w:val="en-US" w:eastAsia="zh-CN"/>
        </w:rPr>
      </w:pPr>
      <w:bookmarkStart w:id="14" w:name="_Toc6137"/>
      <w:r>
        <w:rPr>
          <w:rFonts w:hint="eastAsia"/>
          <w:lang w:val="en-US" w:eastAsia="zh-CN"/>
        </w:rPr>
        <w:t>五、密码科技创新和基础支撑能力</w:t>
      </w:r>
      <w:bookmarkEnd w:id="14"/>
    </w:p>
    <w:p w14:paraId="222896F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《工业和信息化部等十六部门关于促进数据安全产业发展的指导意见》</w:t>
      </w:r>
    </w:p>
    <w:p w14:paraId="3EF6A35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工信部联网安﹝2022﹞182号，成文日期为2023年1月3日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加强核心技术攻关。推进新型计算模式和网络架构下数据安全基础理论和技术研究，支持后量子密码算法、密态计算等技术在数据安全产业的发展应用。优化升级数据识别、分类分级、数据脱敏、数据权限管理等共性基础技术，加强隐私计算、数据流转分析等关键技术攻关。研究大数据场景下轻量级安全传输存储、隐私合规检测、数据滥用分析等技术。</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"https://www.gov.cn/zhengce/zhengceku/2023-01/15/content_5737026.htm"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https://www.gov.cn/zhengce/zhengceku/2023-01/15/content_5737026.htm</w:t>
      </w:r>
      <w:r>
        <w:rPr>
          <w:rFonts w:hint="eastAsia" w:ascii="宋体" w:hAnsi="宋体" w:eastAsia="宋体" w:cs="宋体"/>
          <w:b w:val="0"/>
          <w:bCs w:val="0"/>
          <w:sz w:val="24"/>
          <w:szCs w:val="24"/>
          <w:lang w:val="en-US" w:eastAsia="zh-CN"/>
        </w:rPr>
        <w:fldChar w:fldCharType="end"/>
      </w:r>
    </w:p>
    <w:p w14:paraId="5066367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《工业和信息化部关于印发＜工业和信息化领域数据安全管理办法（试行）＞的通知》</w:t>
      </w:r>
    </w:p>
    <w:p w14:paraId="19BFBF3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工信部网安〔2022〕166号，成文日期为2022年12月8日</w:t>
      </w:r>
    </w:p>
    <w:p w14:paraId="4CB7B11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第十五条 工业和信息化领域数据处理者应当按照法律、行政法规规定和用户约定的方式、期限进行数据存储。存储重要数据和核心数据的，应当采用校验技术、密码技术等措施进行安全存储，并实施数据容灾备份和存储介质安全管理，定期开展数据恢复测试。</w:t>
      </w:r>
    </w:p>
    <w:p w14:paraId="1318A64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第十七条 工业和信息化领域数据处理者应当根据传输的数据类型、级别和应用场景，制定安全策略并采取保护措施。传输重要数据和核心数据的，应当采取校验技术、密码技术、安全传输通道或者安全传输协议等措施。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"https://www.gov.cn/zhengce/zhengceku/2022-12/14/content_5731918.htm"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https://www.gov.cn/zhengce/zhengceku/2022-12/14/content_5731918.htm</w:t>
      </w:r>
      <w:r>
        <w:rPr>
          <w:rFonts w:hint="eastAsia" w:ascii="宋体" w:hAnsi="宋体" w:eastAsia="宋体" w:cs="宋体"/>
          <w:b w:val="0"/>
          <w:bCs w:val="0"/>
          <w:sz w:val="24"/>
          <w:szCs w:val="24"/>
          <w:lang w:val="en-US" w:eastAsia="zh-CN"/>
        </w:rPr>
        <w:fldChar w:fldCharType="end"/>
      </w:r>
    </w:p>
    <w:p w14:paraId="033F854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《工业和信息化部关于印发“十四五”大数据产业发展规划的通知》</w:t>
      </w:r>
    </w:p>
    <w:p w14:paraId="5DFFAA7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工信部规〔2021〕179号，成文日期为2021年11月15日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推动数据安全产业发展。支持重点行业开展数据安全技术手段建设，提升数据安全防护水平和应急处置能力。加强数据安全产品研发应用，推动大数据技术在数字基础设施安全防护中的应用。加强隐私计算、数据脱敏、密码等数据安全技术与产品的研发应用，提升数据安全产品供给能力，做大做强数据安全产业。</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"http://www.gov.cn/zhengce/zhengceku/2021-11/30/content_5655089.htm"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http://www.gov.cn/zhengce/zhengceku/2021-11/30/content_5655089.htm</w:t>
      </w:r>
      <w:r>
        <w:rPr>
          <w:rFonts w:hint="eastAsia" w:ascii="宋体" w:hAnsi="宋体" w:eastAsia="宋体" w:cs="宋体"/>
          <w:b w:val="0"/>
          <w:bCs w:val="0"/>
          <w:sz w:val="24"/>
          <w:szCs w:val="24"/>
          <w:lang w:val="en-US" w:eastAsia="zh-CN"/>
        </w:rPr>
        <w:fldChar w:fldCharType="end"/>
      </w:r>
    </w:p>
    <w:p w14:paraId="58B32B4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中央网络安全和信息化委员会办公室关于加快推动区块链技术应用和产业发展的指导意见》</w:t>
      </w:r>
    </w:p>
    <w:p w14:paraId="06E84F9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工信部联信发〔2021〕62号，成文日期为2021年5月27日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构建底层平台。在分布式计算与存储、密码算法、共识机制、智能合约等重点领域加强技术攻关，构建区块链底层平台。支持利用传感器、可信网络、软硬件结合等技术加强链上链下数据协同。推动区块链与其他新一代信息技术融合，打造安全可控、跨链兼容的区块链基础设施。</w:t>
      </w:r>
    </w:p>
    <w:p w14:paraId="1F4808F4">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"https://www.miit.gov.cn/jgsj/xxjsfzs/wjfb/art/2021/art_aac4af17ec1f4d9fadd5051015e3f42d.html"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https://www.miit.gov.cn/jgsj/xxjsfzs/wjfb/art/2021/art_aac4af17ec1f4d9fadd5051015e3f42d.html</w:t>
      </w:r>
      <w:r>
        <w:rPr>
          <w:rFonts w:hint="eastAsia" w:ascii="宋体" w:hAnsi="宋体" w:eastAsia="宋体" w:cs="宋体"/>
          <w:b w:val="0"/>
          <w:bCs w:val="0"/>
          <w:sz w:val="24"/>
          <w:szCs w:val="24"/>
          <w:lang w:val="en-US" w:eastAsia="zh-CN"/>
        </w:rPr>
        <w:fldChar w:fldCharType="end"/>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思源黑体">
    <w:panose1 w:val="020B0400000000000000"/>
    <w:charset w:val="86"/>
    <w:family w:val="auto"/>
    <w:pitch w:val="default"/>
    <w:sig w:usb0="20000003" w:usb1="2ADF3C10" w:usb2="00000016" w:usb3="00000000" w:csb0="60060107" w:csb1="00000000"/>
  </w:font>
  <w:font w:name="方正大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D148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FB76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CFB76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C94DF"/>
    <w:multiLevelType w:val="singleLevel"/>
    <w:tmpl w:val="944C94DF"/>
    <w:lvl w:ilvl="0" w:tentative="0">
      <w:start w:val="1"/>
      <w:numFmt w:val="chineseCounting"/>
      <w:suff w:val="nothing"/>
      <w:lvlText w:val="%1、"/>
      <w:lvlJc w:val="left"/>
      <w:rPr>
        <w:rFonts w:hint="eastAsia" w:ascii="黑体" w:hAnsi="黑体" w:eastAsia="黑体" w:cs="黑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ZmNjYjU3MjY3ZjU5NWIyNjY2NDQ3MWNkNWI1ZWUifQ=="/>
  </w:docVars>
  <w:rsids>
    <w:rsidRoot w:val="63A07357"/>
    <w:rsid w:val="000123D1"/>
    <w:rsid w:val="00337FC4"/>
    <w:rsid w:val="003C7B0A"/>
    <w:rsid w:val="01A95AAB"/>
    <w:rsid w:val="01D9415D"/>
    <w:rsid w:val="01E16DC3"/>
    <w:rsid w:val="022D62FC"/>
    <w:rsid w:val="025C64F8"/>
    <w:rsid w:val="02B60903"/>
    <w:rsid w:val="02D375D2"/>
    <w:rsid w:val="033341EE"/>
    <w:rsid w:val="03F06A04"/>
    <w:rsid w:val="03FA37B6"/>
    <w:rsid w:val="04A0753A"/>
    <w:rsid w:val="04EA0BA4"/>
    <w:rsid w:val="04EB59BE"/>
    <w:rsid w:val="05094D59"/>
    <w:rsid w:val="053F69CD"/>
    <w:rsid w:val="05C33E36"/>
    <w:rsid w:val="05FD4533"/>
    <w:rsid w:val="06305252"/>
    <w:rsid w:val="064906F9"/>
    <w:rsid w:val="06516464"/>
    <w:rsid w:val="0665688A"/>
    <w:rsid w:val="06FC06A4"/>
    <w:rsid w:val="07282E8B"/>
    <w:rsid w:val="07301846"/>
    <w:rsid w:val="07302A71"/>
    <w:rsid w:val="07484670"/>
    <w:rsid w:val="07556DA9"/>
    <w:rsid w:val="07741A56"/>
    <w:rsid w:val="07790334"/>
    <w:rsid w:val="077F44F7"/>
    <w:rsid w:val="07862E01"/>
    <w:rsid w:val="07DD2096"/>
    <w:rsid w:val="07F309DE"/>
    <w:rsid w:val="08305CC4"/>
    <w:rsid w:val="09A15F0C"/>
    <w:rsid w:val="09A671A9"/>
    <w:rsid w:val="09E7639B"/>
    <w:rsid w:val="0A3824FF"/>
    <w:rsid w:val="0A386822"/>
    <w:rsid w:val="0A3F69D5"/>
    <w:rsid w:val="0A617D3D"/>
    <w:rsid w:val="0A93759F"/>
    <w:rsid w:val="0AAA0071"/>
    <w:rsid w:val="0AC91212"/>
    <w:rsid w:val="0B7A69B0"/>
    <w:rsid w:val="0BDB58AE"/>
    <w:rsid w:val="0BF15449"/>
    <w:rsid w:val="0BF50048"/>
    <w:rsid w:val="0C060514"/>
    <w:rsid w:val="0C6900DD"/>
    <w:rsid w:val="0CB952B6"/>
    <w:rsid w:val="0D194C76"/>
    <w:rsid w:val="0D1B4264"/>
    <w:rsid w:val="0DC90D44"/>
    <w:rsid w:val="0E3C537A"/>
    <w:rsid w:val="0E4D2660"/>
    <w:rsid w:val="0E505AD1"/>
    <w:rsid w:val="0E5D2BF2"/>
    <w:rsid w:val="0EDE5AE1"/>
    <w:rsid w:val="0F06164F"/>
    <w:rsid w:val="0F912A16"/>
    <w:rsid w:val="0FD26E7E"/>
    <w:rsid w:val="10072172"/>
    <w:rsid w:val="105C584D"/>
    <w:rsid w:val="107E2643"/>
    <w:rsid w:val="10AF4A16"/>
    <w:rsid w:val="10C063DA"/>
    <w:rsid w:val="10F547A6"/>
    <w:rsid w:val="10F85AB4"/>
    <w:rsid w:val="119B18B2"/>
    <w:rsid w:val="11CF7319"/>
    <w:rsid w:val="11D35398"/>
    <w:rsid w:val="12D44A81"/>
    <w:rsid w:val="13281A6D"/>
    <w:rsid w:val="132E255A"/>
    <w:rsid w:val="1350710E"/>
    <w:rsid w:val="135D4DFE"/>
    <w:rsid w:val="1362203C"/>
    <w:rsid w:val="137912FC"/>
    <w:rsid w:val="137D740B"/>
    <w:rsid w:val="13985C26"/>
    <w:rsid w:val="13C133CE"/>
    <w:rsid w:val="13CF7BC6"/>
    <w:rsid w:val="13D208E8"/>
    <w:rsid w:val="13FA68E0"/>
    <w:rsid w:val="141F774C"/>
    <w:rsid w:val="146D4ED5"/>
    <w:rsid w:val="14863CD0"/>
    <w:rsid w:val="149F15FA"/>
    <w:rsid w:val="14FD43E8"/>
    <w:rsid w:val="154975B9"/>
    <w:rsid w:val="15A45AB3"/>
    <w:rsid w:val="15A85EC8"/>
    <w:rsid w:val="15B21535"/>
    <w:rsid w:val="15D65B86"/>
    <w:rsid w:val="16273291"/>
    <w:rsid w:val="165B0B3D"/>
    <w:rsid w:val="16A11295"/>
    <w:rsid w:val="16A25075"/>
    <w:rsid w:val="16FB7EC0"/>
    <w:rsid w:val="174A2009"/>
    <w:rsid w:val="175C2DF5"/>
    <w:rsid w:val="17873403"/>
    <w:rsid w:val="17AC6144"/>
    <w:rsid w:val="189356CD"/>
    <w:rsid w:val="1944141D"/>
    <w:rsid w:val="194C4CED"/>
    <w:rsid w:val="198B7B4F"/>
    <w:rsid w:val="199E36B9"/>
    <w:rsid w:val="19AA3D70"/>
    <w:rsid w:val="19BA3BF4"/>
    <w:rsid w:val="19D14F58"/>
    <w:rsid w:val="19F06239"/>
    <w:rsid w:val="1A065E64"/>
    <w:rsid w:val="1A773A32"/>
    <w:rsid w:val="1A966FBD"/>
    <w:rsid w:val="1B1B5F58"/>
    <w:rsid w:val="1B242E40"/>
    <w:rsid w:val="1B541B4F"/>
    <w:rsid w:val="1B6708D7"/>
    <w:rsid w:val="1B994503"/>
    <w:rsid w:val="1BDD700F"/>
    <w:rsid w:val="1BE631E2"/>
    <w:rsid w:val="1C72744B"/>
    <w:rsid w:val="1D0D38B9"/>
    <w:rsid w:val="1D377E26"/>
    <w:rsid w:val="1D4C1327"/>
    <w:rsid w:val="1D823B84"/>
    <w:rsid w:val="1D8C69DB"/>
    <w:rsid w:val="1DD45AAC"/>
    <w:rsid w:val="1DF9503E"/>
    <w:rsid w:val="1E596344"/>
    <w:rsid w:val="1E7E0AE7"/>
    <w:rsid w:val="1EB76D94"/>
    <w:rsid w:val="1F2B626C"/>
    <w:rsid w:val="202D5D9E"/>
    <w:rsid w:val="2030355A"/>
    <w:rsid w:val="20514CC6"/>
    <w:rsid w:val="205A07A7"/>
    <w:rsid w:val="207B2B57"/>
    <w:rsid w:val="20807F3B"/>
    <w:rsid w:val="21222FD3"/>
    <w:rsid w:val="212E5E1B"/>
    <w:rsid w:val="214060D9"/>
    <w:rsid w:val="21A659B2"/>
    <w:rsid w:val="21B07388"/>
    <w:rsid w:val="22130851"/>
    <w:rsid w:val="22370618"/>
    <w:rsid w:val="223C1CF5"/>
    <w:rsid w:val="22872A08"/>
    <w:rsid w:val="229F5FCB"/>
    <w:rsid w:val="22A70E97"/>
    <w:rsid w:val="22D24584"/>
    <w:rsid w:val="22D87618"/>
    <w:rsid w:val="235A678A"/>
    <w:rsid w:val="23B8295A"/>
    <w:rsid w:val="23C44815"/>
    <w:rsid w:val="23C85E1C"/>
    <w:rsid w:val="247D5D84"/>
    <w:rsid w:val="24807DC1"/>
    <w:rsid w:val="24854A7D"/>
    <w:rsid w:val="24B04D44"/>
    <w:rsid w:val="24B539F9"/>
    <w:rsid w:val="24ED5CF4"/>
    <w:rsid w:val="24F90E2F"/>
    <w:rsid w:val="25671385"/>
    <w:rsid w:val="256718FC"/>
    <w:rsid w:val="264319DC"/>
    <w:rsid w:val="264A1B0E"/>
    <w:rsid w:val="2663162B"/>
    <w:rsid w:val="26713F43"/>
    <w:rsid w:val="268E0BD8"/>
    <w:rsid w:val="26D1468A"/>
    <w:rsid w:val="26D6112B"/>
    <w:rsid w:val="272B1E2A"/>
    <w:rsid w:val="277D3B03"/>
    <w:rsid w:val="27D85AEA"/>
    <w:rsid w:val="27DA63B5"/>
    <w:rsid w:val="27EC7E96"/>
    <w:rsid w:val="28122C55"/>
    <w:rsid w:val="28675388"/>
    <w:rsid w:val="289712EA"/>
    <w:rsid w:val="29446E37"/>
    <w:rsid w:val="296F6FD1"/>
    <w:rsid w:val="29A87D64"/>
    <w:rsid w:val="29BD74D6"/>
    <w:rsid w:val="2A361988"/>
    <w:rsid w:val="2A45074C"/>
    <w:rsid w:val="2A456A43"/>
    <w:rsid w:val="2A764CCF"/>
    <w:rsid w:val="2A8867AF"/>
    <w:rsid w:val="2AA450F2"/>
    <w:rsid w:val="2B2B4740"/>
    <w:rsid w:val="2B33776D"/>
    <w:rsid w:val="2B54756B"/>
    <w:rsid w:val="2B596F53"/>
    <w:rsid w:val="2B6D3FF4"/>
    <w:rsid w:val="2BA33B3F"/>
    <w:rsid w:val="2BAB460C"/>
    <w:rsid w:val="2C557282"/>
    <w:rsid w:val="2CF040FB"/>
    <w:rsid w:val="2D2C5FE6"/>
    <w:rsid w:val="2EA339A5"/>
    <w:rsid w:val="2EA909BF"/>
    <w:rsid w:val="2EB1421D"/>
    <w:rsid w:val="2F1039AD"/>
    <w:rsid w:val="2F2257D4"/>
    <w:rsid w:val="2F561ACA"/>
    <w:rsid w:val="2F5C4207"/>
    <w:rsid w:val="2F5D71BE"/>
    <w:rsid w:val="2F670E6A"/>
    <w:rsid w:val="2FAB75B0"/>
    <w:rsid w:val="2FBA2297"/>
    <w:rsid w:val="3038011D"/>
    <w:rsid w:val="309F1B36"/>
    <w:rsid w:val="30E3277E"/>
    <w:rsid w:val="30EB1633"/>
    <w:rsid w:val="31086DB8"/>
    <w:rsid w:val="314350F7"/>
    <w:rsid w:val="31BB2B0A"/>
    <w:rsid w:val="31C67C3F"/>
    <w:rsid w:val="31E65B7B"/>
    <w:rsid w:val="320B20CD"/>
    <w:rsid w:val="32635237"/>
    <w:rsid w:val="326B23EC"/>
    <w:rsid w:val="32785148"/>
    <w:rsid w:val="32981347"/>
    <w:rsid w:val="32A52080"/>
    <w:rsid w:val="32AD69AB"/>
    <w:rsid w:val="32D80039"/>
    <w:rsid w:val="340A0022"/>
    <w:rsid w:val="3417386F"/>
    <w:rsid w:val="343764E2"/>
    <w:rsid w:val="34654A2F"/>
    <w:rsid w:val="34D523DE"/>
    <w:rsid w:val="35221F45"/>
    <w:rsid w:val="354D5B85"/>
    <w:rsid w:val="35A05729"/>
    <w:rsid w:val="36380E96"/>
    <w:rsid w:val="36800B07"/>
    <w:rsid w:val="36AA32BB"/>
    <w:rsid w:val="36F5724A"/>
    <w:rsid w:val="37484977"/>
    <w:rsid w:val="37824373"/>
    <w:rsid w:val="38632B5B"/>
    <w:rsid w:val="38635F4A"/>
    <w:rsid w:val="38C91CE9"/>
    <w:rsid w:val="38CC6FC0"/>
    <w:rsid w:val="38E1153A"/>
    <w:rsid w:val="391B712D"/>
    <w:rsid w:val="39266ADA"/>
    <w:rsid w:val="39E3559D"/>
    <w:rsid w:val="3A011012"/>
    <w:rsid w:val="3A1C4353"/>
    <w:rsid w:val="3A292411"/>
    <w:rsid w:val="3A8612D4"/>
    <w:rsid w:val="3A8F37DB"/>
    <w:rsid w:val="3AE3337B"/>
    <w:rsid w:val="3B1C6365"/>
    <w:rsid w:val="3B563F50"/>
    <w:rsid w:val="3BE56557"/>
    <w:rsid w:val="3BF10263"/>
    <w:rsid w:val="3C4E0CC8"/>
    <w:rsid w:val="3CB44FCF"/>
    <w:rsid w:val="3CBC0D4B"/>
    <w:rsid w:val="3CC06F17"/>
    <w:rsid w:val="3CDD4FE7"/>
    <w:rsid w:val="3DA80564"/>
    <w:rsid w:val="3DDD23CB"/>
    <w:rsid w:val="3EA03B8F"/>
    <w:rsid w:val="3EAF3CA0"/>
    <w:rsid w:val="3EB16816"/>
    <w:rsid w:val="3EEF64ED"/>
    <w:rsid w:val="3F2D184C"/>
    <w:rsid w:val="3F7877A9"/>
    <w:rsid w:val="3FC62E8C"/>
    <w:rsid w:val="3FC85822"/>
    <w:rsid w:val="40630701"/>
    <w:rsid w:val="40723D23"/>
    <w:rsid w:val="40972C3D"/>
    <w:rsid w:val="40D04330"/>
    <w:rsid w:val="40F92B13"/>
    <w:rsid w:val="415A0D90"/>
    <w:rsid w:val="41AA074E"/>
    <w:rsid w:val="41DE4E43"/>
    <w:rsid w:val="41F03837"/>
    <w:rsid w:val="41F60AD4"/>
    <w:rsid w:val="41F71599"/>
    <w:rsid w:val="42C33F30"/>
    <w:rsid w:val="42F407F6"/>
    <w:rsid w:val="43430EF4"/>
    <w:rsid w:val="435E20EE"/>
    <w:rsid w:val="43755D7B"/>
    <w:rsid w:val="44137209"/>
    <w:rsid w:val="44473328"/>
    <w:rsid w:val="44CF2AE1"/>
    <w:rsid w:val="44EB5F7A"/>
    <w:rsid w:val="450B4C32"/>
    <w:rsid w:val="452F5425"/>
    <w:rsid w:val="45390767"/>
    <w:rsid w:val="4554273F"/>
    <w:rsid w:val="458E4A51"/>
    <w:rsid w:val="46136A85"/>
    <w:rsid w:val="4695240A"/>
    <w:rsid w:val="46E65D45"/>
    <w:rsid w:val="46FC3DF0"/>
    <w:rsid w:val="47431429"/>
    <w:rsid w:val="474D7C19"/>
    <w:rsid w:val="47726286"/>
    <w:rsid w:val="477770F6"/>
    <w:rsid w:val="47F00A07"/>
    <w:rsid w:val="481D3FD0"/>
    <w:rsid w:val="48743864"/>
    <w:rsid w:val="48745902"/>
    <w:rsid w:val="4888548A"/>
    <w:rsid w:val="48AF3B53"/>
    <w:rsid w:val="49462C7E"/>
    <w:rsid w:val="49514AD3"/>
    <w:rsid w:val="498826C6"/>
    <w:rsid w:val="499D1C90"/>
    <w:rsid w:val="49DA3B9B"/>
    <w:rsid w:val="4A150683"/>
    <w:rsid w:val="4B064F25"/>
    <w:rsid w:val="4B0836CE"/>
    <w:rsid w:val="4B0F754B"/>
    <w:rsid w:val="4B4D0C86"/>
    <w:rsid w:val="4B7F5CCB"/>
    <w:rsid w:val="4BA346AD"/>
    <w:rsid w:val="4C4216EC"/>
    <w:rsid w:val="4CB87B9B"/>
    <w:rsid w:val="4CCF20E6"/>
    <w:rsid w:val="4D0614D7"/>
    <w:rsid w:val="4D20220D"/>
    <w:rsid w:val="4D2B4E39"/>
    <w:rsid w:val="4D53613E"/>
    <w:rsid w:val="4D8A7244"/>
    <w:rsid w:val="4D974D9A"/>
    <w:rsid w:val="4DEB6D08"/>
    <w:rsid w:val="4E8E7185"/>
    <w:rsid w:val="4E913C53"/>
    <w:rsid w:val="4EBE2ACF"/>
    <w:rsid w:val="4EDA48BD"/>
    <w:rsid w:val="4EEC7EB8"/>
    <w:rsid w:val="4F253B0A"/>
    <w:rsid w:val="4F6919BD"/>
    <w:rsid w:val="4F730D1A"/>
    <w:rsid w:val="4F784A6A"/>
    <w:rsid w:val="4FAE4233"/>
    <w:rsid w:val="50272ECE"/>
    <w:rsid w:val="507D113F"/>
    <w:rsid w:val="50B43398"/>
    <w:rsid w:val="50E50394"/>
    <w:rsid w:val="50EF617E"/>
    <w:rsid w:val="516116A3"/>
    <w:rsid w:val="516F0066"/>
    <w:rsid w:val="5199791F"/>
    <w:rsid w:val="529B1A6E"/>
    <w:rsid w:val="52BB57CD"/>
    <w:rsid w:val="52CF6267"/>
    <w:rsid w:val="53263218"/>
    <w:rsid w:val="53866166"/>
    <w:rsid w:val="53AF1153"/>
    <w:rsid w:val="53E20D50"/>
    <w:rsid w:val="54007B5C"/>
    <w:rsid w:val="541771E9"/>
    <w:rsid w:val="54603722"/>
    <w:rsid w:val="54883D71"/>
    <w:rsid w:val="54D00262"/>
    <w:rsid w:val="55074DDD"/>
    <w:rsid w:val="551D4128"/>
    <w:rsid w:val="556A4FA7"/>
    <w:rsid w:val="5590381C"/>
    <w:rsid w:val="55C16884"/>
    <w:rsid w:val="55F76A1D"/>
    <w:rsid w:val="55F93865"/>
    <w:rsid w:val="57013EA2"/>
    <w:rsid w:val="573413CC"/>
    <w:rsid w:val="57514B11"/>
    <w:rsid w:val="575E3C09"/>
    <w:rsid w:val="57B819BF"/>
    <w:rsid w:val="581E3CD5"/>
    <w:rsid w:val="58816FA9"/>
    <w:rsid w:val="58843743"/>
    <w:rsid w:val="5A197936"/>
    <w:rsid w:val="5A3C0238"/>
    <w:rsid w:val="5A845EA7"/>
    <w:rsid w:val="5A902FB8"/>
    <w:rsid w:val="5B18483E"/>
    <w:rsid w:val="5B6175F6"/>
    <w:rsid w:val="5BC806E0"/>
    <w:rsid w:val="5BC96C23"/>
    <w:rsid w:val="5BEC10A1"/>
    <w:rsid w:val="5C181A9A"/>
    <w:rsid w:val="5C311D40"/>
    <w:rsid w:val="5C4A6EBD"/>
    <w:rsid w:val="5C5E546E"/>
    <w:rsid w:val="5C5F71E5"/>
    <w:rsid w:val="5C7D6D34"/>
    <w:rsid w:val="5CA20A60"/>
    <w:rsid w:val="5D1D0291"/>
    <w:rsid w:val="5D275C8A"/>
    <w:rsid w:val="5D403C8D"/>
    <w:rsid w:val="5D733523"/>
    <w:rsid w:val="5E2F5927"/>
    <w:rsid w:val="5E4D48C2"/>
    <w:rsid w:val="5ECC3709"/>
    <w:rsid w:val="5EF93515"/>
    <w:rsid w:val="5F367635"/>
    <w:rsid w:val="5F416C1F"/>
    <w:rsid w:val="60082DB8"/>
    <w:rsid w:val="60365B77"/>
    <w:rsid w:val="60E24604"/>
    <w:rsid w:val="61243C22"/>
    <w:rsid w:val="61AD0362"/>
    <w:rsid w:val="61C90194"/>
    <w:rsid w:val="61CA1BFE"/>
    <w:rsid w:val="61FA38FE"/>
    <w:rsid w:val="620A7485"/>
    <w:rsid w:val="624F3EEF"/>
    <w:rsid w:val="6251656A"/>
    <w:rsid w:val="62635FEB"/>
    <w:rsid w:val="62670020"/>
    <w:rsid w:val="628F5B29"/>
    <w:rsid w:val="62D10052"/>
    <w:rsid w:val="63005179"/>
    <w:rsid w:val="6310252E"/>
    <w:rsid w:val="63260741"/>
    <w:rsid w:val="6339737F"/>
    <w:rsid w:val="633F6EDB"/>
    <w:rsid w:val="63A07357"/>
    <w:rsid w:val="640D3093"/>
    <w:rsid w:val="647267C2"/>
    <w:rsid w:val="64A3183A"/>
    <w:rsid w:val="64BD06AF"/>
    <w:rsid w:val="64E01C54"/>
    <w:rsid w:val="64FC400C"/>
    <w:rsid w:val="6502427A"/>
    <w:rsid w:val="655B0E08"/>
    <w:rsid w:val="657333CA"/>
    <w:rsid w:val="65AE674B"/>
    <w:rsid w:val="65C0401D"/>
    <w:rsid w:val="65D61CA9"/>
    <w:rsid w:val="65F755BB"/>
    <w:rsid w:val="66320C06"/>
    <w:rsid w:val="666524F6"/>
    <w:rsid w:val="667371BC"/>
    <w:rsid w:val="66D165FA"/>
    <w:rsid w:val="66DC0AFB"/>
    <w:rsid w:val="677A1955"/>
    <w:rsid w:val="67A66A00"/>
    <w:rsid w:val="67A960D2"/>
    <w:rsid w:val="681C50D1"/>
    <w:rsid w:val="683C7AA3"/>
    <w:rsid w:val="686E7FE1"/>
    <w:rsid w:val="68815DFE"/>
    <w:rsid w:val="68A235FA"/>
    <w:rsid w:val="693E784B"/>
    <w:rsid w:val="69AD2503"/>
    <w:rsid w:val="69B44DB4"/>
    <w:rsid w:val="6A942DEC"/>
    <w:rsid w:val="6ACF2E50"/>
    <w:rsid w:val="6AF45618"/>
    <w:rsid w:val="6B07057E"/>
    <w:rsid w:val="6B0D0EFB"/>
    <w:rsid w:val="6B19231D"/>
    <w:rsid w:val="6B2D0CDD"/>
    <w:rsid w:val="6B311224"/>
    <w:rsid w:val="6B431148"/>
    <w:rsid w:val="6B5A0B7F"/>
    <w:rsid w:val="6BD61FBC"/>
    <w:rsid w:val="6BFA530D"/>
    <w:rsid w:val="6CBF4A2A"/>
    <w:rsid w:val="6D593E17"/>
    <w:rsid w:val="6DA947E3"/>
    <w:rsid w:val="6E023C14"/>
    <w:rsid w:val="6E29517D"/>
    <w:rsid w:val="6E2D7722"/>
    <w:rsid w:val="6F356637"/>
    <w:rsid w:val="6F8200AB"/>
    <w:rsid w:val="6FC2775D"/>
    <w:rsid w:val="6FEA34F8"/>
    <w:rsid w:val="700E142B"/>
    <w:rsid w:val="7055578D"/>
    <w:rsid w:val="70D75F53"/>
    <w:rsid w:val="71094BE2"/>
    <w:rsid w:val="7135179D"/>
    <w:rsid w:val="71505985"/>
    <w:rsid w:val="715E074C"/>
    <w:rsid w:val="718F1013"/>
    <w:rsid w:val="71C905C1"/>
    <w:rsid w:val="720A4F88"/>
    <w:rsid w:val="72A13B88"/>
    <w:rsid w:val="72B01DE3"/>
    <w:rsid w:val="73037C83"/>
    <w:rsid w:val="73251D43"/>
    <w:rsid w:val="733F35F9"/>
    <w:rsid w:val="73825D4D"/>
    <w:rsid w:val="73B6372B"/>
    <w:rsid w:val="73C9497A"/>
    <w:rsid w:val="74A013B9"/>
    <w:rsid w:val="74AD03BF"/>
    <w:rsid w:val="74DF717D"/>
    <w:rsid w:val="74F0151E"/>
    <w:rsid w:val="754010AE"/>
    <w:rsid w:val="755074D5"/>
    <w:rsid w:val="757F2E9D"/>
    <w:rsid w:val="75AA6C07"/>
    <w:rsid w:val="764364A0"/>
    <w:rsid w:val="76832D41"/>
    <w:rsid w:val="76907BD6"/>
    <w:rsid w:val="76B4114C"/>
    <w:rsid w:val="77277B70"/>
    <w:rsid w:val="77547891"/>
    <w:rsid w:val="77AB2769"/>
    <w:rsid w:val="77F641A2"/>
    <w:rsid w:val="78104C06"/>
    <w:rsid w:val="78171D1F"/>
    <w:rsid w:val="78AB0071"/>
    <w:rsid w:val="78C7270E"/>
    <w:rsid w:val="78CC33B5"/>
    <w:rsid w:val="78F96F7F"/>
    <w:rsid w:val="79A82748"/>
    <w:rsid w:val="79EA51DA"/>
    <w:rsid w:val="7A017EE6"/>
    <w:rsid w:val="7A0521F0"/>
    <w:rsid w:val="7A141389"/>
    <w:rsid w:val="7A287E87"/>
    <w:rsid w:val="7A2A1C30"/>
    <w:rsid w:val="7A761E52"/>
    <w:rsid w:val="7AF4245F"/>
    <w:rsid w:val="7B381F10"/>
    <w:rsid w:val="7B4A7BAF"/>
    <w:rsid w:val="7B4D389A"/>
    <w:rsid w:val="7B992269"/>
    <w:rsid w:val="7BB12A63"/>
    <w:rsid w:val="7C195991"/>
    <w:rsid w:val="7C203139"/>
    <w:rsid w:val="7C655D5E"/>
    <w:rsid w:val="7C6A7DAD"/>
    <w:rsid w:val="7C710304"/>
    <w:rsid w:val="7CD7575D"/>
    <w:rsid w:val="7CDA0729"/>
    <w:rsid w:val="7CDA138E"/>
    <w:rsid w:val="7CE81B50"/>
    <w:rsid w:val="7D1F7C67"/>
    <w:rsid w:val="7D53149F"/>
    <w:rsid w:val="7D69289B"/>
    <w:rsid w:val="7DBE6370"/>
    <w:rsid w:val="7DE83EE6"/>
    <w:rsid w:val="7E582D05"/>
    <w:rsid w:val="7E9A331D"/>
    <w:rsid w:val="7ECA57CE"/>
    <w:rsid w:val="7EF04B10"/>
    <w:rsid w:val="7F75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autoRedefine/>
    <w:qFormat/>
    <w:uiPriority w:val="0"/>
    <w:pPr>
      <w:spacing w:before="0" w:beforeAutospacing="1" w:after="0" w:afterAutospacing="1"/>
      <w:jc w:val="left"/>
      <w:outlineLvl w:val="0"/>
    </w:pPr>
    <w:rPr>
      <w:rFonts w:hint="eastAsia" w:ascii="宋体" w:hAnsi="宋体" w:eastAsia="黑体" w:cs="宋体"/>
      <w:b/>
      <w:bCs/>
      <w:kern w:val="44"/>
      <w:sz w:val="28"/>
      <w:szCs w:val="48"/>
      <w:lang w:bidi="ar"/>
    </w:rPr>
  </w:style>
  <w:style w:type="paragraph" w:styleId="3">
    <w:name w:val="heading 2"/>
    <w:basedOn w:val="1"/>
    <w:next w:val="1"/>
    <w:link w:val="18"/>
    <w:autoRedefine/>
    <w:semiHidden/>
    <w:unhideWhenUsed/>
    <w:qFormat/>
    <w:uiPriority w:val="0"/>
    <w:pPr>
      <w:spacing w:before="0" w:beforeAutospacing="1" w:after="0" w:afterAutospacing="1"/>
      <w:jc w:val="left"/>
      <w:outlineLvl w:val="1"/>
    </w:pPr>
    <w:rPr>
      <w:rFonts w:hint="eastAsia" w:ascii="宋体" w:hAnsi="宋体" w:eastAsia="宋体" w:cs="宋体"/>
      <w:b/>
      <w:bCs/>
      <w:kern w:val="0"/>
      <w:sz w:val="28"/>
      <w:szCs w:val="36"/>
      <w:lang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qFormat/>
    <w:uiPriority w:val="0"/>
    <w:pPr>
      <w:ind w:left="120" w:right="274" w:firstLine="638"/>
      <w:jc w:val="both"/>
    </w:pPr>
    <w:rPr>
      <w:sz w:val="32"/>
      <w:szCs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character" w:styleId="15">
    <w:name w:val="FollowedHyperlink"/>
    <w:basedOn w:val="13"/>
    <w:autoRedefine/>
    <w:qFormat/>
    <w:uiPriority w:val="0"/>
    <w:rPr>
      <w:color w:val="800080"/>
      <w:u w:val="single"/>
    </w:rPr>
  </w:style>
  <w:style w:type="character" w:styleId="16">
    <w:name w:val="Hyperlink"/>
    <w:basedOn w:val="13"/>
    <w:autoRedefine/>
    <w:qFormat/>
    <w:uiPriority w:val="0"/>
    <w:rPr>
      <w:color w:val="0000FF"/>
      <w:u w:val="single"/>
    </w:rPr>
  </w:style>
  <w:style w:type="character" w:customStyle="1" w:styleId="17">
    <w:name w:val="标题 1 Char"/>
    <w:link w:val="2"/>
    <w:autoRedefine/>
    <w:qFormat/>
    <w:uiPriority w:val="0"/>
    <w:rPr>
      <w:rFonts w:hint="eastAsia" w:ascii="宋体" w:hAnsi="宋体" w:eastAsia="黑体" w:cs="宋体"/>
      <w:b/>
      <w:bCs/>
      <w:kern w:val="44"/>
      <w:sz w:val="28"/>
      <w:szCs w:val="48"/>
      <w:lang w:val="en-US" w:eastAsia="zh-CN" w:bidi="ar"/>
    </w:rPr>
  </w:style>
  <w:style w:type="character" w:customStyle="1" w:styleId="18">
    <w:name w:val="标题 2 Char"/>
    <w:link w:val="3"/>
    <w:autoRedefine/>
    <w:qFormat/>
    <w:uiPriority w:val="0"/>
    <w:rPr>
      <w:rFonts w:hint="eastAsia" w:ascii="宋体" w:hAnsi="宋体" w:eastAsia="宋体" w:cs="宋体"/>
      <w:b/>
      <w:bCs/>
      <w:kern w:val="0"/>
      <w:sz w:val="28"/>
      <w:szCs w:val="36"/>
      <w:lang w:bidi="ar"/>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WPSOffice手动目录 2"/>
    <w:autoRedefine/>
    <w:qFormat/>
    <w:uiPriority w:val="0"/>
    <w:pPr>
      <w:ind w:leftChars="200"/>
    </w:pPr>
    <w:rPr>
      <w:rFonts w:ascii="Times New Roman" w:hAnsi="Times New Roman" w:eastAsia="宋体" w:cs="Times New Roman"/>
      <w:sz w:val="20"/>
      <w:szCs w:val="20"/>
    </w:rPr>
  </w:style>
  <w:style w:type="character" w:customStyle="1" w:styleId="21">
    <w:name w:val="NormalCharacter"/>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蓝色点线科技画册2"/>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21034</Words>
  <Characters>28647</Characters>
  <Lines>0</Lines>
  <Paragraphs>0</Paragraphs>
  <TotalTime>1</TotalTime>
  <ScaleCrop>false</ScaleCrop>
  <LinksUpToDate>false</LinksUpToDate>
  <CharactersWithSpaces>29072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密博士</cp:lastModifiedBy>
  <dcterms:modified xsi:type="dcterms:W3CDTF">2024-12-30T02:05:19Z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AB4575F920FB4C728DD3560E4A9661D4</vt:lpwstr>
  </property>
  <property fmtid="{D5CDD505-2E9C-101B-9397-08002B2CF9AE}" pid="4" name="KSOSaveFontToCloudKey">
    <vt:lpwstr>590610_btnclosed</vt:lpwstr>
  </property>
  <property fmtid="{D5CDD505-2E9C-101B-9397-08002B2CF9AE}" pid="5" name="KSOTemplateDocerSaveRecord">
    <vt:lpwstr>eyJoZGlkIjoiNTBiZmNjYjU3MjY3ZjU5NWIyNjY2NDQ3MWNkNWI1ZWUiLCJ1c2VySWQiOiIyNzI1MTEyMDEifQ==</vt:lpwstr>
  </property>
</Properties>
</file>