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DCC6B">
      <w:pPr>
        <w:rPr>
          <w:rFonts w:hint="eastAsia" w:eastAsia="宋体"/>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-885190</wp:posOffset>
                </wp:positionH>
                <wp:positionV relativeFrom="paragraph">
                  <wp:posOffset>2244725</wp:posOffset>
                </wp:positionV>
                <wp:extent cx="7061835" cy="487680"/>
                <wp:effectExtent l="0" t="0" r="0" b="0"/>
                <wp:wrapNone/>
                <wp:docPr id="1" name="文本框 13"/>
                <wp:cNvGraphicFramePr/>
                <a:graphic xmlns:a="http://schemas.openxmlformats.org/drawingml/2006/main">
                  <a:graphicData uri="http://schemas.microsoft.com/office/word/2010/wordprocessingShape">
                    <wps:wsp>
                      <wps:cNvSpPr txBox="1"/>
                      <wps:spPr>
                        <a:xfrm>
                          <a:off x="700405" y="5603875"/>
                          <a:ext cx="7061835" cy="487680"/>
                        </a:xfrm>
                        <a:prstGeom prst="rect">
                          <a:avLst/>
                        </a:prstGeom>
                        <a:noFill/>
                        <a:ln>
                          <a:noFill/>
                        </a:ln>
                      </wps:spPr>
                      <wps:txbx>
                        <w:txbxContent>
                          <w:p w14:paraId="15D40B21">
                            <w:pPr>
                              <w:jc w:val="center"/>
                              <w:rPr>
                                <w:rFonts w:hint="default" w:ascii="Arial" w:hAnsi="Arial" w:eastAsia="幼圆" w:cs="Arial"/>
                                <w:color w:val="FFFFFF" w:themeColor="background1"/>
                                <w:kern w:val="0"/>
                                <w:sz w:val="40"/>
                                <w:szCs w:val="40"/>
                                <w:lang w:val="en-US" w:eastAsia="zh-CN"/>
                                <w14:textFill>
                                  <w14:solidFill>
                                    <w14:schemeClr w14:val="bg1"/>
                                  </w14:solidFill>
                                </w14:textFill>
                              </w:rPr>
                            </w:pPr>
                            <w:r>
                              <w:rPr>
                                <w:rFonts w:hint="eastAsia" w:ascii="Arial" w:hAnsi="Arial" w:eastAsia="幼圆" w:cs="Arial"/>
                                <w:color w:val="FFFFFF" w:themeColor="background1"/>
                                <w:kern w:val="0"/>
                                <w:sz w:val="40"/>
                                <w:szCs w:val="40"/>
                                <w:lang w:val="en-US" w:eastAsia="zh-CN"/>
                                <w14:textFill>
                                  <w14:solidFill>
                                    <w14:schemeClr w14:val="bg1"/>
                                  </w14:solidFill>
                                </w14:textFill>
                              </w:rPr>
                              <w:t>《中华人民共和国密码法》颁布施行五周年来</w:t>
                            </w:r>
                          </w:p>
                        </w:txbxContent>
                      </wps:txbx>
                      <wps:bodyPr wrap="square" upright="0">
                        <a:spAutoFit/>
                      </wps:bodyPr>
                    </wps:wsp>
                  </a:graphicData>
                </a:graphic>
              </wp:anchor>
            </w:drawing>
          </mc:Choice>
          <mc:Fallback>
            <w:pict>
              <v:shape id="文本框 13" o:spid="_x0000_s1026" o:spt="202" type="#_x0000_t202" style="position:absolute;left:0pt;margin-left:-69.7pt;margin-top:176.75pt;height:38.4pt;width:556.05pt;z-index:251661312;mso-width-relative:page;mso-height-relative:page;" filled="f" stroked="f" coordsize="21600,21600" o:gfxdata="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af3Dg2gAAAAwBAAAPAAAAAAAAAAEAIAAAACIA&#10;AABkcnMvZG93bnJldi54bWxQSwECFAAUAAAACACHTuJABTDPrM4BAACCAwAADgAAAAAAAAABACAA&#10;AAApAQAAZHJzL2Uyb0RvYy54bWxQSwUGAAAAAAYABgBZAQAAaQUAAAAA&#10;">
                <v:fill on="f" focussize="0,0"/>
                <v:stroke on="f"/>
                <v:imagedata o:title=""/>
                <o:lock v:ext="edit" aspectratio="f"/>
                <v:textbox style="mso-fit-shape-to-text:t;">
                  <w:txbxContent>
                    <w:p w14:paraId="15D40B21">
                      <w:pPr>
                        <w:jc w:val="center"/>
                        <w:rPr>
                          <w:rFonts w:hint="default" w:ascii="Arial" w:hAnsi="Arial" w:eastAsia="幼圆" w:cs="Arial"/>
                          <w:color w:val="FFFFFF" w:themeColor="background1"/>
                          <w:kern w:val="0"/>
                          <w:sz w:val="40"/>
                          <w:szCs w:val="40"/>
                          <w:lang w:val="en-US" w:eastAsia="zh-CN"/>
                          <w14:textFill>
                            <w14:solidFill>
                              <w14:schemeClr w14:val="bg1"/>
                            </w14:solidFill>
                          </w14:textFill>
                        </w:rPr>
                      </w:pPr>
                      <w:r>
                        <w:rPr>
                          <w:rFonts w:hint="eastAsia" w:ascii="Arial" w:hAnsi="Arial" w:eastAsia="幼圆" w:cs="Arial"/>
                          <w:color w:val="FFFFFF" w:themeColor="background1"/>
                          <w:kern w:val="0"/>
                          <w:sz w:val="40"/>
                          <w:szCs w:val="40"/>
                          <w:lang w:val="en-US" w:eastAsia="zh-CN"/>
                          <w14:textFill>
                            <w14:solidFill>
                              <w14:schemeClr w14:val="bg1"/>
                            </w14:solidFill>
                          </w14:textFill>
                        </w:rPr>
                        <w:t>《中华人民共和国密码法》颁布施行五周年来</w:t>
                      </w:r>
                    </w:p>
                  </w:txbxContent>
                </v:textbox>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-615950</wp:posOffset>
                </wp:positionH>
                <wp:positionV relativeFrom="paragraph">
                  <wp:posOffset>3317240</wp:posOffset>
                </wp:positionV>
                <wp:extent cx="6611620" cy="2072640"/>
                <wp:effectExtent l="0" t="0" r="0" b="0"/>
                <wp:wrapNone/>
                <wp:docPr id="4" name="文本框 11"/>
                <wp:cNvGraphicFramePr/>
                <a:graphic xmlns:a="http://schemas.openxmlformats.org/drawingml/2006/main">
                  <a:graphicData uri="http://schemas.microsoft.com/office/word/2010/wordprocessingShape">
                    <wps:wsp>
                      <wps:cNvSpPr txBox="1"/>
                      <wps:spPr>
                        <a:xfrm>
                          <a:off x="0" y="0"/>
                          <a:ext cx="6611620" cy="2072640"/>
                        </a:xfrm>
                        <a:prstGeom prst="rect">
                          <a:avLst/>
                        </a:prstGeom>
                        <a:noFill/>
                        <a:ln>
                          <a:noFill/>
                        </a:ln>
                      </wps:spPr>
                      <wps:txbx>
                        <w:txbxContent>
                          <w:p w14:paraId="4AC284F7">
                            <w:pPr>
                              <w:jc w:val="center"/>
                              <w:rPr>
                                <w:rFonts w:hint="default" w:ascii="微软雅黑" w:hAnsi="微软雅黑" w:eastAsia="微软雅黑" w:cs="微软雅黑"/>
                                <w:b/>
                                <w:bCs w:val="0"/>
                                <w:color w:val="FFFFFF" w:themeColor="background1"/>
                                <w:kern w:val="24"/>
                                <w:sz w:val="96"/>
                                <w:szCs w:val="96"/>
                                <w:lang w:val="en-US" w:eastAsia="zh-CN" w:bidi="ar"/>
                                <w14:textFill>
                                  <w14:solidFill>
                                    <w14:schemeClr w14:val="bg1"/>
                                  </w14:solidFill>
                                </w14:textFill>
                              </w:rPr>
                            </w:pPr>
                            <w:r>
                              <w:rPr>
                                <w:rFonts w:hint="eastAsia" w:ascii="微软雅黑" w:hAnsi="微软雅黑" w:eastAsia="微软雅黑" w:cs="微软雅黑"/>
                                <w:b/>
                                <w:bCs w:val="0"/>
                                <w:color w:val="FFFFFF" w:themeColor="background1"/>
                                <w:kern w:val="24"/>
                                <w:sz w:val="112"/>
                                <w:szCs w:val="112"/>
                                <w:lang w:val="en-US" w:eastAsia="zh-CN" w:bidi="ar"/>
                                <w14:textFill>
                                  <w14:gradFill>
                                    <w14:gsLst>
                                      <w14:gs w14:pos="48687">
                                        <w14:srgbClr w14:val="7AD9FB"/>
                                      </w14:gs>
                                      <w14:gs w14:pos="3000">
                                        <w14:srgbClr w14:val="2C84BC"/>
                                      </w14:gs>
                                      <w14:gs w14:pos="100000">
                                        <w14:srgbClr w14:val="FCFEFF"/>
                                      </w14:gs>
                                    </w14:gsLst>
                                    <w14:lin w14:ang="18900000" w14:scaled="1"/>
                                  </w14:gradFill>
                                </w14:textFill>
                              </w:rPr>
                              <w:t>密码新政策办法</w:t>
                            </w:r>
                          </w:p>
                        </w:txbxContent>
                      </wps:txbx>
                      <wps:bodyPr wrap="square" upright="0">
                        <a:spAutoFit/>
                      </wps:bodyPr>
                    </wps:wsp>
                  </a:graphicData>
                </a:graphic>
              </wp:anchor>
            </w:drawing>
          </mc:Choice>
          <mc:Fallback>
            <w:pict>
              <v:shape id="文本框 11" o:spid="_x0000_s1026" o:spt="202" type="#_x0000_t202" style="position:absolute;left:0pt;margin-left:-48.5pt;margin-top:261.2pt;height:163.2pt;width:520.6pt;z-index:251664384;mso-width-relative:page;mso-height-relative:page;" filled="f" stroked="f" coordsize="21600,21600" o:gfxdata="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j7zXpdkAAAALAQAADwAAAAAAAAABACAAAAAiAAAAZHJzL2Rvd25y&#10;ZXYueG1sUEsBAhQAFAAAAAgAh07iQDChbzjEAQAAeAMAAA4AAAAAAAAAAQAgAAAAKAEAAGRycy9l&#10;Mm9Eb2MueG1sUEsFBgAAAAAGAAYAWQEAAF4FAAAAAA==&#10;">
                <v:fill on="f" focussize="0,0"/>
                <v:stroke on="f"/>
                <v:imagedata o:title=""/>
                <o:lock v:ext="edit" aspectratio="f"/>
                <v:textbox style="mso-fit-shape-to-text:t;">
                  <w:txbxContent>
                    <w:p w14:paraId="4AC284F7">
                      <w:pPr>
                        <w:jc w:val="center"/>
                        <w:rPr>
                          <w:rFonts w:hint="default" w:ascii="微软雅黑" w:hAnsi="微软雅黑" w:eastAsia="微软雅黑" w:cs="微软雅黑"/>
                          <w:b/>
                          <w:bCs w:val="0"/>
                          <w:color w:val="FFFFFF" w:themeColor="background1"/>
                          <w:kern w:val="24"/>
                          <w:sz w:val="96"/>
                          <w:szCs w:val="96"/>
                          <w:lang w:val="en-US" w:eastAsia="zh-CN" w:bidi="ar"/>
                          <w14:textFill>
                            <w14:solidFill>
                              <w14:schemeClr w14:val="bg1"/>
                            </w14:solidFill>
                          </w14:textFill>
                        </w:rPr>
                      </w:pPr>
                      <w:r>
                        <w:rPr>
                          <w:rFonts w:hint="eastAsia" w:ascii="微软雅黑" w:hAnsi="微软雅黑" w:eastAsia="微软雅黑" w:cs="微软雅黑"/>
                          <w:b/>
                          <w:bCs w:val="0"/>
                          <w:color w:val="FFFFFF" w:themeColor="background1"/>
                          <w:kern w:val="24"/>
                          <w:sz w:val="112"/>
                          <w:szCs w:val="112"/>
                          <w:lang w:val="en-US" w:eastAsia="zh-CN" w:bidi="ar"/>
                          <w14:textFill>
                            <w14:gradFill>
                              <w14:gsLst>
                                <w14:gs w14:pos="48687">
                                  <w14:srgbClr w14:val="7AD9FB"/>
                                </w14:gs>
                                <w14:gs w14:pos="3000">
                                  <w14:srgbClr w14:val="2C84BC"/>
                                </w14:gs>
                                <w14:gs w14:pos="100000">
                                  <w14:srgbClr w14:val="FCFEFF"/>
                                </w14:gs>
                              </w14:gsLst>
                              <w14:lin w14:ang="18900000" w14:scaled="1"/>
                            </w14:gradFill>
                          </w14:textFill>
                        </w:rPr>
                        <w:t>密码新政策办法</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5594350</wp:posOffset>
                </wp:positionV>
                <wp:extent cx="4243070" cy="685800"/>
                <wp:effectExtent l="0" t="0" r="0" b="0"/>
                <wp:wrapNone/>
                <wp:docPr id="14" name="文本框 13"/>
                <wp:cNvGraphicFramePr/>
                <a:graphic xmlns:a="http://schemas.openxmlformats.org/drawingml/2006/main">
                  <a:graphicData uri="http://schemas.microsoft.com/office/word/2010/wordprocessingShape">
                    <wps:wsp>
                      <wps:cNvSpPr txBox="1"/>
                      <wps:spPr>
                        <a:xfrm>
                          <a:off x="0" y="0"/>
                          <a:ext cx="4243297" cy="685968"/>
                        </a:xfrm>
                        <a:prstGeom prst="rect">
                          <a:avLst/>
                        </a:prstGeom>
                        <a:noFill/>
                        <a:ln>
                          <a:noFill/>
                        </a:ln>
                      </wps:spPr>
                      <wps:txbx>
                        <w:txbxContent>
                          <w:p w14:paraId="458152C6">
                            <w:pPr>
                              <w:jc w:val="center"/>
                              <w:rPr>
                                <w:rFonts w:hint="default" w:ascii="微软雅黑" w:hAnsi="微软雅黑" w:eastAsia="微软雅黑" w:cs="微软雅黑"/>
                                <w:color w:val="FFFFFF" w:themeColor="background1"/>
                                <w:kern w:val="0"/>
                                <w:sz w:val="32"/>
                                <w:szCs w:val="32"/>
                                <w:lang w:val="en-US" w:eastAsia="zh-CN"/>
                                <w14:textFill>
                                  <w14:solidFill>
                                    <w14:schemeClr w14:val="bg1"/>
                                  </w14:solidFill>
                                </w14:textFill>
                              </w:rPr>
                            </w:pPr>
                            <w:r>
                              <w:rPr>
                                <w:rFonts w:hint="eastAsia" w:ascii="微软雅黑" w:hAnsi="微软雅黑" w:eastAsia="微软雅黑" w:cs="微软雅黑"/>
                                <w:color w:val="FFFFFF" w:themeColor="background1"/>
                                <w:kern w:val="0"/>
                                <w:sz w:val="32"/>
                                <w:szCs w:val="32"/>
                                <w:lang w:val="en-US" w:eastAsia="zh-CN"/>
                                <w14:textFill>
                                  <w14:solidFill>
                                    <w14:schemeClr w14:val="bg1"/>
                                  </w14:solidFill>
                                </w14:textFill>
                              </w:rPr>
                              <w:t>2024年12月</w:t>
                            </w:r>
                          </w:p>
                        </w:txbxContent>
                      </wps:txbx>
                      <wps:bodyPr wrap="square" upright="0">
                        <a:spAutoFit/>
                      </wps:bodyPr>
                    </wps:wsp>
                  </a:graphicData>
                </a:graphic>
              </wp:anchor>
            </w:drawing>
          </mc:Choice>
          <mc:Fallback>
            <w:pict>
              <v:shape id="文本框 13" o:spid="_x0000_s1026" o:spt="202" type="#_x0000_t202" style="position:absolute;left:0pt;margin-left:36.4pt;margin-top:440.5pt;height:54pt;width:334.1pt;z-index:251663360;mso-width-relative:page;mso-height-relative:page;" filled="f" stroked="f" coordsize="21600,21600" o:gfxdata="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wZt3fXAAAACgEAAA8AAAAAAAAAAQAgAAAAIgAAAGRycy9kb3ducmV2&#10;LnhtbFBLAQIUABQAAAAIAIdO4kBrIDPZxAEAAHgDAAAOAAAAAAAAAAEAIAAAACYBAABkcnMvZTJv&#10;RG9jLnhtbFBLBQYAAAAABgAGAFkBAABcBQAAAAA=&#10;">
                <v:fill on="f" focussize="0,0"/>
                <v:stroke on="f"/>
                <v:imagedata o:title=""/>
                <o:lock v:ext="edit" aspectratio="f"/>
                <v:textbox style="mso-fit-shape-to-text:t;">
                  <w:txbxContent>
                    <w:p w14:paraId="458152C6">
                      <w:pPr>
                        <w:jc w:val="center"/>
                        <w:rPr>
                          <w:rFonts w:hint="default" w:ascii="微软雅黑" w:hAnsi="微软雅黑" w:eastAsia="微软雅黑" w:cs="微软雅黑"/>
                          <w:color w:val="FFFFFF" w:themeColor="background1"/>
                          <w:kern w:val="0"/>
                          <w:sz w:val="32"/>
                          <w:szCs w:val="32"/>
                          <w:lang w:val="en-US" w:eastAsia="zh-CN"/>
                          <w14:textFill>
                            <w14:solidFill>
                              <w14:schemeClr w14:val="bg1"/>
                            </w14:solidFill>
                          </w14:textFill>
                        </w:rPr>
                      </w:pPr>
                      <w:r>
                        <w:rPr>
                          <w:rFonts w:hint="eastAsia" w:ascii="微软雅黑" w:hAnsi="微软雅黑" w:eastAsia="微软雅黑" w:cs="微软雅黑"/>
                          <w:color w:val="FFFFFF" w:themeColor="background1"/>
                          <w:kern w:val="0"/>
                          <w:sz w:val="32"/>
                          <w:szCs w:val="32"/>
                          <w:lang w:val="en-US" w:eastAsia="zh-CN"/>
                          <w14:textFill>
                            <w14:solidFill>
                              <w14:schemeClr w14:val="bg1"/>
                            </w14:solidFill>
                          </w14:textFill>
                        </w:rPr>
                        <w:t>2024年12月</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-637540</wp:posOffset>
                </wp:positionH>
                <wp:positionV relativeFrom="paragraph">
                  <wp:posOffset>2488565</wp:posOffset>
                </wp:positionV>
                <wp:extent cx="6611620" cy="2072640"/>
                <wp:effectExtent l="0" t="0" r="0" b="0"/>
                <wp:wrapNone/>
                <wp:docPr id="2" name="文本框 11"/>
                <wp:cNvGraphicFramePr/>
                <a:graphic xmlns:a="http://schemas.openxmlformats.org/drawingml/2006/main">
                  <a:graphicData uri="http://schemas.microsoft.com/office/word/2010/wordprocessingShape">
                    <wps:wsp>
                      <wps:cNvSpPr txBox="1"/>
                      <wps:spPr>
                        <a:xfrm>
                          <a:off x="624205" y="3782695"/>
                          <a:ext cx="6611620" cy="2072640"/>
                        </a:xfrm>
                        <a:prstGeom prst="rect">
                          <a:avLst/>
                        </a:prstGeom>
                        <a:noFill/>
                        <a:ln>
                          <a:noFill/>
                        </a:ln>
                      </wps:spPr>
                      <wps:txbx>
                        <w:txbxContent>
                          <w:p w14:paraId="4C0041D4">
                            <w:pPr>
                              <w:jc w:val="center"/>
                              <w:rPr>
                                <w:rFonts w:hint="default" w:ascii="微软雅黑" w:hAnsi="微软雅黑" w:eastAsia="微软雅黑" w:cs="微软雅黑"/>
                                <w:b/>
                                <w:bCs w:val="0"/>
                                <w:color w:val="FFFFFF" w:themeColor="background1"/>
                                <w:kern w:val="24"/>
                                <w:sz w:val="96"/>
                                <w:szCs w:val="96"/>
                                <w:lang w:val="en-US" w:eastAsia="zh-CN" w:bidi="ar"/>
                                <w14:textFill>
                                  <w14:gradFill>
                                    <w14:gsLst>
                                      <w14:gs w14:pos="48687">
                                        <w14:srgbClr w14:val="7AD9FB"/>
                                      </w14:gs>
                                      <w14:gs w14:pos="3000">
                                        <w14:srgbClr w14:val="2C84BC"/>
                                      </w14:gs>
                                      <w14:gs w14:pos="100000">
                                        <w14:srgbClr w14:val="FCFEFF"/>
                                      </w14:gs>
                                    </w14:gsLst>
                                    <w14:lin w14:ang="18900000" w14:scaled="1"/>
                                  </w14:gradFill>
                                </w14:textFill>
                              </w:rPr>
                            </w:pPr>
                            <w:r>
                              <w:rPr>
                                <w:rFonts w:hint="eastAsia" w:ascii="微软雅黑" w:hAnsi="微软雅黑" w:eastAsia="微软雅黑" w:cs="微软雅黑"/>
                                <w:b/>
                                <w:bCs w:val="0"/>
                                <w:color w:val="FFFFFF" w:themeColor="background1"/>
                                <w:kern w:val="24"/>
                                <w:sz w:val="112"/>
                                <w:szCs w:val="112"/>
                                <w:lang w:val="en-US" w:eastAsia="zh-CN" w:bidi="ar"/>
                                <w14:textFill>
                                  <w14:gradFill>
                                    <w14:gsLst>
                                      <w14:gs w14:pos="48687">
                                        <w14:srgbClr w14:val="7AD9FB"/>
                                      </w14:gs>
                                      <w14:gs w14:pos="3000">
                                        <w14:srgbClr w14:val="2C84BC"/>
                                      </w14:gs>
                                      <w14:gs w14:pos="100000">
                                        <w14:srgbClr w14:val="FCFEFF"/>
                                      </w14:gs>
                                    </w14:gsLst>
                                    <w14:lin w14:ang="18900000" w14:scaled="1"/>
                                  </w14:gradFill>
                                </w14:textFill>
                              </w:rPr>
                              <w:t>金融和重要领域</w:t>
                            </w:r>
                          </w:p>
                        </w:txbxContent>
                      </wps:txbx>
                      <wps:bodyPr wrap="square" upright="0">
                        <a:spAutoFit/>
                      </wps:bodyPr>
                    </wps:wsp>
                  </a:graphicData>
                </a:graphic>
              </wp:anchor>
            </w:drawing>
          </mc:Choice>
          <mc:Fallback>
            <w:pict>
              <v:shape id="文本框 11" o:spid="_x0000_s1026" o:spt="202" type="#_x0000_t202" style="position:absolute;left:0pt;margin-left:-50.2pt;margin-top:195.95pt;height:163.2pt;width:520.6pt;z-index:251660288;mso-width-relative:page;mso-height-relative:page;" filled="f" stroked="f" coordsize="21600,21600" o:gfxdata="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5xCft2QAAAAwBAAAPAAAAAAAAAAEAIAAAACIA&#10;AABkcnMvZG93bnJldi54bWxQSwECFAAUAAAACACHTuJAp+BC4s8BAACDAwAADgAAAAAAAAABACAA&#10;AAAoAQAAZHJzL2Uyb0RvYy54bWxQSwUGAAAAAAYABgBZAQAAaQUAAAAA&#10;">
                <v:fill on="f" focussize="0,0"/>
                <v:stroke on="f"/>
                <v:imagedata o:title=""/>
                <o:lock v:ext="edit" aspectratio="f"/>
                <v:textbox style="mso-fit-shape-to-text:t;">
                  <w:txbxContent>
                    <w:p w14:paraId="4C0041D4">
                      <w:pPr>
                        <w:jc w:val="center"/>
                        <w:rPr>
                          <w:rFonts w:hint="default" w:ascii="微软雅黑" w:hAnsi="微软雅黑" w:eastAsia="微软雅黑" w:cs="微软雅黑"/>
                          <w:b/>
                          <w:bCs w:val="0"/>
                          <w:color w:val="FFFFFF" w:themeColor="background1"/>
                          <w:kern w:val="24"/>
                          <w:sz w:val="96"/>
                          <w:szCs w:val="96"/>
                          <w:lang w:val="en-US" w:eastAsia="zh-CN" w:bidi="ar"/>
                          <w14:textFill>
                            <w14:gradFill>
                              <w14:gsLst>
                                <w14:gs w14:pos="48687">
                                  <w14:srgbClr w14:val="7AD9FB"/>
                                </w14:gs>
                                <w14:gs w14:pos="3000">
                                  <w14:srgbClr w14:val="2C84BC"/>
                                </w14:gs>
                                <w14:gs w14:pos="100000">
                                  <w14:srgbClr w14:val="FCFEFF"/>
                                </w14:gs>
                              </w14:gsLst>
                              <w14:lin w14:ang="18900000" w14:scaled="1"/>
                            </w14:gradFill>
                          </w14:textFill>
                        </w:rPr>
                      </w:pPr>
                      <w:r>
                        <w:rPr>
                          <w:rFonts w:hint="eastAsia" w:ascii="微软雅黑" w:hAnsi="微软雅黑" w:eastAsia="微软雅黑" w:cs="微软雅黑"/>
                          <w:b/>
                          <w:bCs w:val="0"/>
                          <w:color w:val="FFFFFF" w:themeColor="background1"/>
                          <w:kern w:val="24"/>
                          <w:sz w:val="112"/>
                          <w:szCs w:val="112"/>
                          <w:lang w:val="en-US" w:eastAsia="zh-CN" w:bidi="ar"/>
                          <w14:textFill>
                            <w14:gradFill>
                              <w14:gsLst>
                                <w14:gs w14:pos="48687">
                                  <w14:srgbClr w14:val="7AD9FB"/>
                                </w14:gs>
                                <w14:gs w14:pos="3000">
                                  <w14:srgbClr w14:val="2C84BC"/>
                                </w14:gs>
                                <w14:gs w14:pos="100000">
                                  <w14:srgbClr w14:val="FCFEFF"/>
                                </w14:gs>
                              </w14:gsLst>
                              <w14:lin w14:ang="18900000" w14:scaled="1"/>
                            </w14:gradFill>
                          </w14:textFill>
                        </w:rPr>
                        <w:t>金融和重要领域</w:t>
                      </w:r>
                    </w:p>
                  </w:txbxContent>
                </v:textbox>
              </v:shape>
            </w:pict>
          </mc:Fallback>
        </mc:AlternateContent>
      </w:r>
      <w:r>
        <w:rPr>
          <w:rFonts w:hint="eastAsia" w:eastAsia="宋体"/>
          <w:lang w:eastAsia="zh-CN"/>
        </w:rPr>
        <w:drawing>
          <wp:anchor distT="0" distB="0" distL="114935" distR="114935" simplePos="0" relativeHeight="251662336" behindDoc="1" locked="0" layoutInCell="1" allowOverlap="1">
            <wp:simplePos x="0" y="0"/>
            <wp:positionH relativeFrom="column">
              <wp:posOffset>-1143000</wp:posOffset>
            </wp:positionH>
            <wp:positionV relativeFrom="paragraph">
              <wp:posOffset>-922020</wp:posOffset>
            </wp:positionV>
            <wp:extent cx="7599680" cy="10767060"/>
            <wp:effectExtent l="0" t="0" r="1270" b="15240"/>
            <wp:wrapNone/>
            <wp:docPr id="13" name="图片 1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3"/>
                    <pic:cNvPicPr>
                      <a:picLocks noChangeAspect="1"/>
                    </pic:cNvPicPr>
                  </pic:nvPicPr>
                  <pic:blipFill>
                    <a:blip r:embed="rId5"/>
                    <a:stretch>
                      <a:fillRect/>
                    </a:stretch>
                  </pic:blipFill>
                  <pic:spPr>
                    <a:xfrm>
                      <a:off x="0" y="0"/>
                      <a:ext cx="7599680" cy="10767060"/>
                    </a:xfrm>
                    <a:prstGeom prst="rect">
                      <a:avLst/>
                    </a:prstGeom>
                  </pic:spPr>
                </pic:pic>
              </a:graphicData>
            </a:graphic>
          </wp:anchor>
        </w:drawing>
      </w:r>
    </w:p>
    <w:p w14:paraId="41B6EA04">
      <w:pPr>
        <w:pStyle w:val="11"/>
        <w:keepNext w:val="0"/>
        <w:keepLines w:val="0"/>
        <w:widowControl/>
        <w:suppressLineNumbers w:val="0"/>
        <w:spacing w:before="0" w:beforeAutospacing="0" w:after="0" w:afterAutospacing="0"/>
        <w:ind w:left="0" w:right="0" w:firstLine="0"/>
        <w:jc w:val="center"/>
        <w:rPr>
          <w:rFonts w:hint="eastAsia" w:ascii="黑体" w:hAnsi="黑体" w:eastAsia="黑体" w:cs="黑体"/>
          <w:b/>
          <w:bCs/>
          <w:sz w:val="36"/>
          <w:szCs w:val="36"/>
          <w:lang w:val="en-US" w:eastAsia="zh-CN"/>
        </w:rPr>
        <w:sectPr>
          <w:pgSz w:w="11906" w:h="16838"/>
          <w:pgMar w:top="1440" w:right="1800" w:bottom="1440" w:left="1800" w:header="851" w:footer="992" w:gutter="0"/>
          <w:pgNumType w:fmt="decimal" w:start="1"/>
          <w:cols w:space="425" w:num="1"/>
          <w:docGrid w:type="lines" w:linePitch="312" w:charSpace="0"/>
        </w:sectPr>
      </w:pPr>
    </w:p>
    <w:p w14:paraId="70BC8D3C">
      <w:pPr>
        <w:pStyle w:val="11"/>
        <w:keepNext w:val="0"/>
        <w:keepLines w:val="0"/>
        <w:widowControl/>
        <w:suppressLineNumbers w:val="0"/>
        <w:spacing w:before="0" w:beforeAutospacing="0" w:after="0" w:afterAutospacing="0"/>
        <w:ind w:left="0" w:right="0" w:firstLine="0"/>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前 言</w:t>
      </w:r>
    </w:p>
    <w:p w14:paraId="4D94DCC3">
      <w:pPr>
        <w:pStyle w:val="11"/>
        <w:keepNext w:val="0"/>
        <w:keepLines w:val="0"/>
        <w:widowControl/>
        <w:suppressLineNumbers w:val="0"/>
        <w:spacing w:before="0" w:beforeAutospacing="0" w:after="0" w:afterAutospacing="0"/>
        <w:ind w:left="0" w:right="0" w:firstLine="0"/>
        <w:jc w:val="center"/>
        <w:rPr>
          <w:rFonts w:hint="eastAsia" w:ascii="宋体" w:hAnsi="宋体" w:eastAsia="宋体" w:cs="宋体"/>
          <w:b w:val="0"/>
          <w:bCs w:val="0"/>
          <w:sz w:val="36"/>
          <w:szCs w:val="36"/>
          <w:lang w:val="en-US" w:eastAsia="zh-CN"/>
        </w:rPr>
      </w:pPr>
    </w:p>
    <w:p w14:paraId="0229F6FB">
      <w:pPr>
        <w:pStyle w:val="11"/>
        <w:keepNext w:val="0"/>
        <w:keepLines w:val="0"/>
        <w:widowControl/>
        <w:suppressLineNumbers w:val="0"/>
        <w:spacing w:before="0" w:beforeAutospacing="0" w:after="0" w:afterAutospacing="0"/>
        <w:ind w:left="0" w:right="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2019年10月26日，《中华人民共和国密码法》（简称《密码法》）正式颁布，自2020年1月1日起正式施行。密码应用在金融、公安、社保、交通、能源、水利、教育、广电、税务等领域不断向纵深拓展。</w:t>
      </w:r>
    </w:p>
    <w:p w14:paraId="2A44CAB4">
      <w:pPr>
        <w:pStyle w:val="11"/>
        <w:keepNext w:val="0"/>
        <w:keepLines w:val="0"/>
        <w:widowControl/>
        <w:suppressLineNumbers w:val="0"/>
        <w:spacing w:before="0" w:beforeAutospacing="0" w:after="0" w:afterAutospacing="0"/>
        <w:ind w:left="0" w:right="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同时，5G、物联网、云计算、大数据、人工智能、区块链、量子通信、数字经济等新技术新业态正与密码紧密融合。密码持续发挥着在保障国家网络与信息安全中的重要作用。</w:t>
      </w:r>
    </w:p>
    <w:p w14:paraId="0BE9DE88">
      <w:pPr>
        <w:pStyle w:val="11"/>
        <w:keepNext w:val="0"/>
        <w:keepLines w:val="0"/>
        <w:widowControl/>
        <w:suppressLineNumbers w:val="0"/>
        <w:spacing w:before="0" w:beforeAutospacing="0" w:after="0" w:afterAutospacing="0"/>
        <w:ind w:left="0" w:right="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以下为《密码法》颁布施行五年来，我国金融和重要领域新出台的部分公开的密码相关政策办法。</w:t>
      </w:r>
    </w:p>
    <w:p w14:paraId="20DD531C">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57039232">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4717DFC3">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65A0A853">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69BE0CAA">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56C24275">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75840181">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0E0B2D77">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2992AB67">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1DC638AD">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2CD0A90F">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7501B15A">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15D15A4C">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21A26210">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41BC493A">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1C3A1643">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7E497570">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49BB345C">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17ACCAC5">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200C6D7C">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18C8DA92">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091A3A7F">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2B92CB16">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60C9D83B">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38C8E933">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sdt>
      <w:sdtPr>
        <w:rPr>
          <w:rFonts w:ascii="宋体" w:hAnsi="宋体" w:eastAsia="宋体" w:cstheme="minorBidi"/>
          <w:b/>
          <w:bCs/>
          <w:kern w:val="2"/>
          <w:sz w:val="28"/>
          <w:szCs w:val="36"/>
          <w:lang w:val="en-US" w:eastAsia="zh-CN" w:bidi="ar-SA"/>
        </w:rPr>
        <w:id w:val="147464623"/>
        <w15:color w:val="DBDBDB"/>
        <w:docPartObj>
          <w:docPartGallery w:val="Table of Contents"/>
          <w:docPartUnique/>
        </w:docPartObj>
      </w:sdtPr>
      <w:sdtEndPr>
        <w:rPr>
          <w:rFonts w:hint="eastAsia" w:ascii="宋体" w:hAnsi="宋体" w:eastAsia="宋体" w:cs="宋体"/>
          <w:b/>
          <w:bCs w:val="0"/>
          <w:kern w:val="0"/>
          <w:sz w:val="24"/>
          <w:szCs w:val="24"/>
          <w:lang w:val="en-US" w:eastAsia="zh-CN" w:bidi="ar"/>
        </w:rPr>
      </w:sdtEndPr>
      <w:sdtContent>
        <w:p w14:paraId="0BB8C907">
          <w:pPr>
            <w:spacing w:before="0" w:beforeLines="0" w:after="0" w:afterLines="0" w:line="240" w:lineRule="auto"/>
            <w:ind w:left="0" w:leftChars="0" w:right="0" w:rightChars="0" w:firstLine="0" w:firstLineChars="0"/>
            <w:jc w:val="center"/>
            <w:rPr>
              <w:rFonts w:hint="eastAsia" w:ascii="宋体" w:hAnsi="宋体" w:eastAsia="宋体" w:cs="宋体"/>
              <w:b/>
              <w:bCs/>
              <w:sz w:val="28"/>
              <w:szCs w:val="28"/>
            </w:rPr>
          </w:pPr>
          <w:r>
            <w:rPr>
              <w:rFonts w:hint="eastAsia" w:ascii="黑体" w:hAnsi="黑体" w:eastAsia="黑体" w:cs="黑体"/>
              <w:b/>
              <w:bCs/>
              <w:sz w:val="36"/>
              <w:szCs w:val="36"/>
            </w:rPr>
            <w:t>目</w:t>
          </w:r>
          <w:r>
            <w:rPr>
              <w:rFonts w:hint="eastAsia" w:ascii="黑体" w:hAnsi="黑体" w:eastAsia="黑体" w:cs="黑体"/>
              <w:b/>
              <w:bCs/>
              <w:sz w:val="36"/>
              <w:szCs w:val="36"/>
              <w:lang w:val="en-US" w:eastAsia="zh-CN"/>
            </w:rPr>
            <w:t xml:space="preserve"> </w:t>
          </w:r>
          <w:r>
            <w:rPr>
              <w:rFonts w:hint="eastAsia" w:ascii="黑体" w:hAnsi="黑体" w:eastAsia="黑体" w:cs="黑体"/>
              <w:b/>
              <w:bCs/>
              <w:sz w:val="36"/>
              <w:szCs w:val="36"/>
            </w:rPr>
            <w:t>录</w:t>
          </w:r>
        </w:p>
        <w:p w14:paraId="7F03D989">
          <w:pPr>
            <w:spacing w:before="0" w:beforeLines="0" w:after="0" w:afterLines="0" w:line="240" w:lineRule="auto"/>
            <w:ind w:left="0" w:leftChars="0" w:right="0" w:rightChars="0" w:firstLine="0" w:firstLineChars="0"/>
            <w:jc w:val="center"/>
            <w:rPr>
              <w:rFonts w:hint="eastAsia" w:ascii="宋体" w:hAnsi="宋体" w:eastAsia="宋体" w:cs="宋体"/>
              <w:sz w:val="28"/>
              <w:szCs w:val="28"/>
            </w:rPr>
          </w:pPr>
        </w:p>
        <w:p w14:paraId="7D7A12BD">
          <w:pPr>
            <w:pStyle w:val="8"/>
            <w:tabs>
              <w:tab w:val="right" w:leader="dot" w:pos="8306"/>
            </w:tabs>
            <w:rPr>
              <w:rFonts w:hint="eastAsia" w:ascii="仿宋_GB2312" w:hAnsi="仿宋_GB2312" w:eastAsia="仿宋_GB2312" w:cs="仿宋_GB2312"/>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TOC \o "1-3" \h \u </w:instrText>
          </w:r>
          <w:r>
            <w:rPr>
              <w:rFonts w:hint="eastAsia" w:ascii="宋体" w:hAnsi="宋体" w:eastAsia="宋体" w:cs="宋体"/>
              <w:b w:val="0"/>
              <w:bCs w:val="0"/>
              <w:sz w:val="28"/>
              <w:szCs w:val="28"/>
            </w:rPr>
            <w:fldChar w:fldCharType="separate"/>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HYPERLINK \l _Toc14505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lang w:val="en-US" w:eastAsia="zh-CN"/>
            </w:rPr>
            <w:t xml:space="preserve">一、金融领域密码应用 </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_Toc14505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1</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fldChar w:fldCharType="end"/>
          </w:r>
        </w:p>
        <w:p w14:paraId="71C48F5F">
          <w:pPr>
            <w:pStyle w:val="8"/>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HYPERLINK \l _Toc28728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lang w:val="en-US" w:eastAsia="zh-CN"/>
            </w:rPr>
            <w:t>二、基础设施网络密码应用</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_Toc28728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4</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fldChar w:fldCharType="end"/>
          </w:r>
        </w:p>
        <w:p w14:paraId="2CAFF6FB">
          <w:pPr>
            <w:pStyle w:val="9"/>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val="0"/>
              <w:sz w:val="28"/>
              <w:szCs w:val="28"/>
            </w:rPr>
            <w:fldChar w:fldCharType="begin"/>
          </w:r>
          <w:r>
            <w:rPr>
              <w:rFonts w:hint="eastAsia" w:ascii="仿宋_GB2312" w:hAnsi="仿宋_GB2312" w:eastAsia="仿宋_GB2312" w:cs="仿宋_GB2312"/>
              <w:bCs w:val="0"/>
              <w:sz w:val="28"/>
              <w:szCs w:val="28"/>
            </w:rPr>
            <w:instrText xml:space="preserve"> HYPERLINK \l _Toc16979 </w:instrText>
          </w:r>
          <w:r>
            <w:rPr>
              <w:rFonts w:hint="eastAsia" w:ascii="仿宋_GB2312" w:hAnsi="仿宋_GB2312" w:eastAsia="仿宋_GB2312" w:cs="仿宋_GB2312"/>
              <w:bCs w:val="0"/>
              <w:sz w:val="28"/>
              <w:szCs w:val="28"/>
            </w:rPr>
            <w:fldChar w:fldCharType="separate"/>
          </w:r>
          <w:r>
            <w:rPr>
              <w:rFonts w:hint="eastAsia" w:ascii="仿宋_GB2312" w:hAnsi="仿宋_GB2312" w:eastAsia="仿宋_GB2312" w:cs="仿宋_GB2312"/>
              <w:sz w:val="28"/>
              <w:szCs w:val="28"/>
              <w:lang w:val="en-US" w:eastAsia="zh-CN"/>
            </w:rPr>
            <w:t>（一）基础信息网络密码应用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_Toc16979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val="0"/>
              <w:sz w:val="28"/>
              <w:szCs w:val="28"/>
            </w:rPr>
            <w:fldChar w:fldCharType="end"/>
          </w:r>
        </w:p>
        <w:p w14:paraId="7FCD1267">
          <w:pPr>
            <w:pStyle w:val="9"/>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val="0"/>
              <w:sz w:val="28"/>
              <w:szCs w:val="28"/>
            </w:rPr>
            <w:fldChar w:fldCharType="begin"/>
          </w:r>
          <w:r>
            <w:rPr>
              <w:rFonts w:hint="eastAsia" w:ascii="仿宋_GB2312" w:hAnsi="仿宋_GB2312" w:eastAsia="仿宋_GB2312" w:cs="仿宋_GB2312"/>
              <w:bCs w:val="0"/>
              <w:sz w:val="28"/>
              <w:szCs w:val="28"/>
            </w:rPr>
            <w:instrText xml:space="preserve"> HYPERLINK \l _Toc412 </w:instrText>
          </w:r>
          <w:r>
            <w:rPr>
              <w:rFonts w:hint="eastAsia" w:ascii="仿宋_GB2312" w:hAnsi="仿宋_GB2312" w:eastAsia="仿宋_GB2312" w:cs="仿宋_GB2312"/>
              <w:bCs w:val="0"/>
              <w:sz w:val="28"/>
              <w:szCs w:val="28"/>
            </w:rPr>
            <w:fldChar w:fldCharType="separate"/>
          </w:r>
          <w:r>
            <w:rPr>
              <w:rFonts w:hint="eastAsia" w:ascii="仿宋_GB2312" w:hAnsi="仿宋_GB2312" w:eastAsia="仿宋_GB2312" w:cs="仿宋_GB2312"/>
              <w:sz w:val="28"/>
              <w:szCs w:val="28"/>
              <w:lang w:val="en-US" w:eastAsia="zh-CN"/>
            </w:rPr>
            <w:t>（二）交通运输网络密码应用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_Toc412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val="0"/>
              <w:sz w:val="28"/>
              <w:szCs w:val="28"/>
            </w:rPr>
            <w:fldChar w:fldCharType="end"/>
          </w:r>
        </w:p>
        <w:p w14:paraId="50179EBC">
          <w:pPr>
            <w:pStyle w:val="9"/>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val="0"/>
              <w:sz w:val="28"/>
              <w:szCs w:val="28"/>
            </w:rPr>
            <w:fldChar w:fldCharType="begin"/>
          </w:r>
          <w:r>
            <w:rPr>
              <w:rFonts w:hint="eastAsia" w:ascii="仿宋_GB2312" w:hAnsi="仿宋_GB2312" w:eastAsia="仿宋_GB2312" w:cs="仿宋_GB2312"/>
              <w:bCs w:val="0"/>
              <w:sz w:val="28"/>
              <w:szCs w:val="28"/>
            </w:rPr>
            <w:instrText xml:space="preserve"> HYPERLINK \l _Toc803 </w:instrText>
          </w:r>
          <w:r>
            <w:rPr>
              <w:rFonts w:hint="eastAsia" w:ascii="仿宋_GB2312" w:hAnsi="仿宋_GB2312" w:eastAsia="仿宋_GB2312" w:cs="仿宋_GB2312"/>
              <w:bCs w:val="0"/>
              <w:sz w:val="28"/>
              <w:szCs w:val="28"/>
            </w:rPr>
            <w:fldChar w:fldCharType="separate"/>
          </w:r>
          <w:r>
            <w:rPr>
              <w:rFonts w:hint="eastAsia" w:ascii="仿宋_GB2312" w:hAnsi="仿宋_GB2312" w:eastAsia="仿宋_GB2312" w:cs="仿宋_GB2312"/>
              <w:sz w:val="28"/>
              <w:szCs w:val="28"/>
              <w:lang w:val="en-US" w:eastAsia="zh-CN"/>
            </w:rPr>
            <w:t>（三）能源基础设施网络密码应用</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_Toc803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val="0"/>
              <w:sz w:val="28"/>
              <w:szCs w:val="28"/>
            </w:rPr>
            <w:fldChar w:fldCharType="end"/>
          </w:r>
        </w:p>
        <w:p w14:paraId="52D021B7">
          <w:pPr>
            <w:pStyle w:val="9"/>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val="0"/>
              <w:sz w:val="28"/>
              <w:szCs w:val="28"/>
            </w:rPr>
            <w:fldChar w:fldCharType="begin"/>
          </w:r>
          <w:r>
            <w:rPr>
              <w:rFonts w:hint="eastAsia" w:ascii="仿宋_GB2312" w:hAnsi="仿宋_GB2312" w:eastAsia="仿宋_GB2312" w:cs="仿宋_GB2312"/>
              <w:bCs w:val="0"/>
              <w:sz w:val="28"/>
              <w:szCs w:val="28"/>
            </w:rPr>
            <w:instrText xml:space="preserve"> HYPERLINK \l _Toc24539 </w:instrText>
          </w:r>
          <w:r>
            <w:rPr>
              <w:rFonts w:hint="eastAsia" w:ascii="仿宋_GB2312" w:hAnsi="仿宋_GB2312" w:eastAsia="仿宋_GB2312" w:cs="仿宋_GB2312"/>
              <w:bCs w:val="0"/>
              <w:sz w:val="28"/>
              <w:szCs w:val="28"/>
            </w:rPr>
            <w:fldChar w:fldCharType="separate"/>
          </w:r>
          <w:r>
            <w:rPr>
              <w:rFonts w:hint="eastAsia" w:ascii="仿宋_GB2312" w:hAnsi="仿宋_GB2312" w:eastAsia="仿宋_GB2312" w:cs="仿宋_GB2312"/>
              <w:sz w:val="28"/>
              <w:szCs w:val="28"/>
              <w:lang w:val="en-US" w:eastAsia="zh-CN"/>
            </w:rPr>
            <w:t xml:space="preserve">（四）资源信息化网络密码应用 </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_Toc24539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val="0"/>
              <w:sz w:val="28"/>
              <w:szCs w:val="28"/>
            </w:rPr>
            <w:fldChar w:fldCharType="end"/>
          </w:r>
        </w:p>
        <w:p w14:paraId="7C651794">
          <w:pPr>
            <w:pStyle w:val="9"/>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val="0"/>
              <w:sz w:val="28"/>
              <w:szCs w:val="28"/>
            </w:rPr>
            <w:fldChar w:fldCharType="begin"/>
          </w:r>
          <w:r>
            <w:rPr>
              <w:rFonts w:hint="eastAsia" w:ascii="仿宋_GB2312" w:hAnsi="仿宋_GB2312" w:eastAsia="仿宋_GB2312" w:cs="仿宋_GB2312"/>
              <w:bCs w:val="0"/>
              <w:sz w:val="28"/>
              <w:szCs w:val="28"/>
            </w:rPr>
            <w:instrText xml:space="preserve"> HYPERLINK \l _Toc1916 </w:instrText>
          </w:r>
          <w:r>
            <w:rPr>
              <w:rFonts w:hint="eastAsia" w:ascii="仿宋_GB2312" w:hAnsi="仿宋_GB2312" w:eastAsia="仿宋_GB2312" w:cs="仿宋_GB2312"/>
              <w:bCs w:val="0"/>
              <w:sz w:val="28"/>
              <w:szCs w:val="28"/>
            </w:rPr>
            <w:fldChar w:fldCharType="separate"/>
          </w:r>
          <w:r>
            <w:rPr>
              <w:rFonts w:hint="eastAsia" w:ascii="仿宋_GB2312" w:hAnsi="仿宋_GB2312" w:eastAsia="仿宋_GB2312" w:cs="仿宋_GB2312"/>
              <w:sz w:val="28"/>
              <w:szCs w:val="28"/>
              <w:lang w:val="en-US" w:eastAsia="zh-CN"/>
            </w:rPr>
            <w:t xml:space="preserve">（五）城市基础设施网络密码应用 </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_Toc1916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val="0"/>
              <w:sz w:val="28"/>
              <w:szCs w:val="28"/>
            </w:rPr>
            <w:fldChar w:fldCharType="end"/>
          </w:r>
        </w:p>
        <w:p w14:paraId="65F2A808">
          <w:pPr>
            <w:pStyle w:val="8"/>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HYPERLINK \l _Toc29229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lang w:val="en-US" w:eastAsia="zh-CN"/>
            </w:rPr>
            <w:t xml:space="preserve">三、密码与数字经济融合应用 </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_Toc29229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15</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fldChar w:fldCharType="end"/>
          </w:r>
        </w:p>
        <w:p w14:paraId="581B4AEE">
          <w:pPr>
            <w:pStyle w:val="9"/>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val="0"/>
              <w:sz w:val="28"/>
              <w:szCs w:val="28"/>
            </w:rPr>
            <w:fldChar w:fldCharType="begin"/>
          </w:r>
          <w:r>
            <w:rPr>
              <w:rFonts w:hint="eastAsia" w:ascii="仿宋_GB2312" w:hAnsi="仿宋_GB2312" w:eastAsia="仿宋_GB2312" w:cs="仿宋_GB2312"/>
              <w:bCs w:val="0"/>
              <w:sz w:val="28"/>
              <w:szCs w:val="28"/>
            </w:rPr>
            <w:instrText xml:space="preserve"> HYPERLINK \l _Toc31891 </w:instrText>
          </w:r>
          <w:r>
            <w:rPr>
              <w:rFonts w:hint="eastAsia" w:ascii="仿宋_GB2312" w:hAnsi="仿宋_GB2312" w:eastAsia="仿宋_GB2312" w:cs="仿宋_GB2312"/>
              <w:bCs w:val="0"/>
              <w:sz w:val="28"/>
              <w:szCs w:val="28"/>
            </w:rPr>
            <w:fldChar w:fldCharType="separate"/>
          </w:r>
          <w:r>
            <w:rPr>
              <w:rFonts w:hint="eastAsia" w:ascii="仿宋_GB2312" w:hAnsi="仿宋_GB2312" w:eastAsia="仿宋_GB2312" w:cs="仿宋_GB2312"/>
              <w:sz w:val="28"/>
              <w:szCs w:val="28"/>
              <w:lang w:val="en-US" w:eastAsia="zh-CN"/>
            </w:rPr>
            <w:t xml:space="preserve">（一）现代农业密码应用 </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_Toc31891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val="0"/>
              <w:sz w:val="28"/>
              <w:szCs w:val="28"/>
            </w:rPr>
            <w:fldChar w:fldCharType="end"/>
          </w:r>
        </w:p>
        <w:p w14:paraId="076266AA">
          <w:pPr>
            <w:pStyle w:val="9"/>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val="0"/>
              <w:sz w:val="28"/>
              <w:szCs w:val="28"/>
            </w:rPr>
            <w:fldChar w:fldCharType="begin"/>
          </w:r>
          <w:r>
            <w:rPr>
              <w:rFonts w:hint="eastAsia" w:ascii="仿宋_GB2312" w:hAnsi="仿宋_GB2312" w:eastAsia="仿宋_GB2312" w:cs="仿宋_GB2312"/>
              <w:bCs w:val="0"/>
              <w:sz w:val="28"/>
              <w:szCs w:val="28"/>
            </w:rPr>
            <w:instrText xml:space="preserve"> HYPERLINK \l _Toc28771 </w:instrText>
          </w:r>
          <w:r>
            <w:rPr>
              <w:rFonts w:hint="eastAsia" w:ascii="仿宋_GB2312" w:hAnsi="仿宋_GB2312" w:eastAsia="仿宋_GB2312" w:cs="仿宋_GB2312"/>
              <w:bCs w:val="0"/>
              <w:sz w:val="28"/>
              <w:szCs w:val="28"/>
            </w:rPr>
            <w:fldChar w:fldCharType="separate"/>
          </w:r>
          <w:r>
            <w:rPr>
              <w:rFonts w:hint="eastAsia" w:ascii="仿宋_GB2312" w:hAnsi="仿宋_GB2312" w:eastAsia="仿宋_GB2312" w:cs="仿宋_GB2312"/>
              <w:sz w:val="28"/>
              <w:szCs w:val="28"/>
              <w:lang w:val="en-US" w:eastAsia="zh-CN"/>
            </w:rPr>
            <w:t xml:space="preserve">（二）先进制造业密码应用 </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_Toc28771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val="0"/>
              <w:sz w:val="28"/>
              <w:szCs w:val="28"/>
            </w:rPr>
            <w:fldChar w:fldCharType="end"/>
          </w:r>
        </w:p>
        <w:p w14:paraId="3C5A733B">
          <w:pPr>
            <w:pStyle w:val="9"/>
            <w:tabs>
              <w:tab w:val="right" w:leader="dot" w:pos="8306"/>
            </w:tabs>
            <w:rPr>
              <w:rFonts w:hint="eastAsia" w:ascii="仿宋_GB2312" w:hAnsi="仿宋_GB2312" w:eastAsia="仿宋_GB2312" w:cs="仿宋_GB2312"/>
              <w:bCs w:val="0"/>
              <w:sz w:val="28"/>
              <w:szCs w:val="28"/>
            </w:rPr>
          </w:pPr>
          <w:r>
            <w:rPr>
              <w:rFonts w:hint="eastAsia" w:ascii="仿宋_GB2312" w:hAnsi="仿宋_GB2312" w:eastAsia="仿宋_GB2312" w:cs="仿宋_GB2312"/>
              <w:bCs w:val="0"/>
              <w:sz w:val="28"/>
              <w:szCs w:val="28"/>
            </w:rPr>
            <w:fldChar w:fldCharType="begin"/>
          </w:r>
          <w:r>
            <w:rPr>
              <w:rFonts w:hint="eastAsia" w:ascii="仿宋_GB2312" w:hAnsi="仿宋_GB2312" w:eastAsia="仿宋_GB2312" w:cs="仿宋_GB2312"/>
              <w:bCs w:val="0"/>
              <w:sz w:val="28"/>
              <w:szCs w:val="28"/>
            </w:rPr>
            <w:instrText xml:space="preserve"> HYPERLINK \l _Toc17564 </w:instrText>
          </w:r>
          <w:r>
            <w:rPr>
              <w:rFonts w:hint="eastAsia" w:ascii="仿宋_GB2312" w:hAnsi="仿宋_GB2312" w:eastAsia="仿宋_GB2312" w:cs="仿宋_GB2312"/>
              <w:bCs w:val="0"/>
              <w:sz w:val="28"/>
              <w:szCs w:val="28"/>
            </w:rPr>
            <w:fldChar w:fldCharType="separate"/>
          </w:r>
          <w:r>
            <w:rPr>
              <w:rFonts w:hint="eastAsia" w:ascii="仿宋_GB2312" w:hAnsi="仿宋_GB2312" w:eastAsia="仿宋_GB2312" w:cs="仿宋_GB2312"/>
              <w:sz w:val="28"/>
              <w:szCs w:val="28"/>
              <w:lang w:val="en-US" w:eastAsia="zh-CN"/>
            </w:rPr>
            <w:t xml:space="preserve">（三）现代服务业及新兴产业密码应用 </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_Toc17564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val="0"/>
              <w:sz w:val="28"/>
              <w:szCs w:val="28"/>
            </w:rPr>
            <w:fldChar w:fldCharType="end"/>
          </w:r>
        </w:p>
        <w:p w14:paraId="1C140388">
          <w:pPr>
            <w:pStyle w:val="9"/>
            <w:tabs>
              <w:tab w:val="right" w:leader="dot" w:pos="8306"/>
            </w:tabs>
            <w:ind w:left="0" w:leftChars="0" w:firstLine="0" w:firstLineChars="0"/>
            <w:rPr>
              <w:rFonts w:hint="eastAsia" w:ascii="仿宋_GB2312" w:hAnsi="仿宋_GB2312" w:eastAsia="仿宋_GB2312" w:cs="仿宋_GB2312"/>
              <w:bCs w:val="0"/>
              <w:sz w:val="28"/>
              <w:szCs w:val="28"/>
              <w:lang w:val="en-US" w:eastAsia="zh-CN"/>
            </w:rPr>
          </w:pP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HYPERLINK \l _Toc16103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lang w:val="en-US" w:eastAsia="zh-CN"/>
            </w:rPr>
            <w:t>四、信息惠民密码应用</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_Toc16103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22</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fldChar w:fldCharType="end"/>
          </w:r>
        </w:p>
        <w:p w14:paraId="7E5CCDC1">
          <w:pPr>
            <w:pStyle w:val="9"/>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val="0"/>
              <w:sz w:val="28"/>
              <w:szCs w:val="28"/>
            </w:rPr>
            <w:fldChar w:fldCharType="begin"/>
          </w:r>
          <w:r>
            <w:rPr>
              <w:rFonts w:hint="eastAsia" w:ascii="仿宋_GB2312" w:hAnsi="仿宋_GB2312" w:eastAsia="仿宋_GB2312" w:cs="仿宋_GB2312"/>
              <w:bCs w:val="0"/>
              <w:sz w:val="28"/>
              <w:szCs w:val="28"/>
            </w:rPr>
            <w:instrText xml:space="preserve"> HYPERLINK \l _Toc16103 </w:instrText>
          </w:r>
          <w:r>
            <w:rPr>
              <w:rFonts w:hint="eastAsia" w:ascii="仿宋_GB2312" w:hAnsi="仿宋_GB2312" w:eastAsia="仿宋_GB2312" w:cs="仿宋_GB2312"/>
              <w:bCs w:val="0"/>
              <w:sz w:val="28"/>
              <w:szCs w:val="28"/>
            </w:rPr>
            <w:fldChar w:fldCharType="separate"/>
          </w:r>
          <w:r>
            <w:rPr>
              <w:rFonts w:hint="eastAsia" w:ascii="仿宋_GB2312" w:hAnsi="仿宋_GB2312" w:eastAsia="仿宋_GB2312" w:cs="仿宋_GB2312"/>
              <w:sz w:val="28"/>
              <w:szCs w:val="28"/>
              <w:lang w:val="en-US" w:eastAsia="zh-CN"/>
            </w:rPr>
            <w:t>（一）电子政务密码应用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_Toc16103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val="0"/>
              <w:sz w:val="28"/>
              <w:szCs w:val="28"/>
            </w:rPr>
            <w:fldChar w:fldCharType="end"/>
          </w:r>
        </w:p>
        <w:p w14:paraId="6CAB984D">
          <w:pPr>
            <w:pStyle w:val="9"/>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val="0"/>
              <w:sz w:val="28"/>
              <w:szCs w:val="28"/>
            </w:rPr>
            <w:fldChar w:fldCharType="begin"/>
          </w:r>
          <w:r>
            <w:rPr>
              <w:rFonts w:hint="eastAsia" w:ascii="仿宋_GB2312" w:hAnsi="仿宋_GB2312" w:eastAsia="仿宋_GB2312" w:cs="仿宋_GB2312"/>
              <w:bCs w:val="0"/>
              <w:sz w:val="28"/>
              <w:szCs w:val="28"/>
            </w:rPr>
            <w:instrText xml:space="preserve"> HYPERLINK \l _Toc6483 </w:instrText>
          </w:r>
          <w:r>
            <w:rPr>
              <w:rFonts w:hint="eastAsia" w:ascii="仿宋_GB2312" w:hAnsi="仿宋_GB2312" w:eastAsia="仿宋_GB2312" w:cs="仿宋_GB2312"/>
              <w:bCs w:val="0"/>
              <w:sz w:val="28"/>
              <w:szCs w:val="28"/>
            </w:rPr>
            <w:fldChar w:fldCharType="separate"/>
          </w:r>
          <w:r>
            <w:rPr>
              <w:rFonts w:hint="eastAsia" w:ascii="仿宋_GB2312" w:hAnsi="仿宋_GB2312" w:eastAsia="仿宋_GB2312" w:cs="仿宋_GB2312"/>
              <w:sz w:val="28"/>
              <w:szCs w:val="28"/>
              <w:lang w:val="en-US" w:eastAsia="zh-CN"/>
            </w:rPr>
            <w:t xml:space="preserve">（二）社会治理密码应用 </w:t>
          </w:r>
          <w:r>
            <w:rPr>
              <w:rFonts w:hint="eastAsia" w:ascii="仿宋_GB2312" w:hAnsi="仿宋_GB2312" w:eastAsia="仿宋_GB2312" w:cs="仿宋_GB2312"/>
              <w:bCs w:val="0"/>
              <w:sz w:val="28"/>
              <w:szCs w:val="28"/>
              <w:lang w:val="en-US" w:eastAsia="zh-CN"/>
            </w:rPr>
            <w:t xml:space="preserve"> </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_Toc6483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val="0"/>
              <w:sz w:val="28"/>
              <w:szCs w:val="28"/>
            </w:rPr>
            <w:fldChar w:fldCharType="end"/>
          </w:r>
        </w:p>
        <w:p w14:paraId="70331EB7">
          <w:pPr>
            <w:pStyle w:val="9"/>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val="0"/>
              <w:sz w:val="28"/>
              <w:szCs w:val="28"/>
            </w:rPr>
            <w:fldChar w:fldCharType="begin"/>
          </w:r>
          <w:r>
            <w:rPr>
              <w:rFonts w:hint="eastAsia" w:ascii="仿宋_GB2312" w:hAnsi="仿宋_GB2312" w:eastAsia="仿宋_GB2312" w:cs="仿宋_GB2312"/>
              <w:bCs w:val="0"/>
              <w:sz w:val="28"/>
              <w:szCs w:val="28"/>
            </w:rPr>
            <w:instrText xml:space="preserve"> HYPERLINK \l _Toc25491 </w:instrText>
          </w:r>
          <w:r>
            <w:rPr>
              <w:rFonts w:hint="eastAsia" w:ascii="仿宋_GB2312" w:hAnsi="仿宋_GB2312" w:eastAsia="仿宋_GB2312" w:cs="仿宋_GB2312"/>
              <w:bCs w:val="0"/>
              <w:sz w:val="28"/>
              <w:szCs w:val="28"/>
            </w:rPr>
            <w:fldChar w:fldCharType="separate"/>
          </w:r>
          <w:r>
            <w:rPr>
              <w:rFonts w:hint="eastAsia" w:ascii="仿宋_GB2312" w:hAnsi="仿宋_GB2312" w:eastAsia="仿宋_GB2312" w:cs="仿宋_GB2312"/>
              <w:sz w:val="28"/>
              <w:szCs w:val="28"/>
              <w:lang w:val="en-US" w:eastAsia="zh-CN"/>
            </w:rPr>
            <w:t xml:space="preserve">（三）民生保障密码应用 </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_Toc25491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val="0"/>
              <w:sz w:val="28"/>
              <w:szCs w:val="28"/>
            </w:rPr>
            <w:fldChar w:fldCharType="end"/>
          </w:r>
        </w:p>
        <w:p w14:paraId="46AEBADD">
          <w:pPr>
            <w:pStyle w:val="8"/>
            <w:tabs>
              <w:tab w:val="right" w:leader="dot" w:pos="8306"/>
            </w:tabs>
            <w:rPr>
              <w:rFonts w:hint="eastAsia" w:ascii="宋体" w:hAnsi="宋体" w:eastAsia="宋体" w:cs="宋体"/>
              <w:sz w:val="28"/>
              <w:szCs w:val="28"/>
            </w:rPr>
          </w:pP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HYPERLINK \l _Toc6137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lang w:val="en-US" w:eastAsia="zh-CN"/>
            </w:rPr>
            <w:t>五、密码科技创新和基础支撑能力</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_Toc6137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28</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fldChar w:fldCharType="end"/>
          </w:r>
        </w:p>
        <w:p w14:paraId="1A806146">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r>
            <w:rPr>
              <w:rFonts w:hint="eastAsia" w:ascii="宋体" w:hAnsi="宋体" w:eastAsia="宋体" w:cs="宋体"/>
              <w:bCs w:val="0"/>
              <w:sz w:val="28"/>
              <w:szCs w:val="28"/>
            </w:rPr>
            <w:fldChar w:fldCharType="end"/>
          </w:r>
        </w:p>
      </w:sdtContent>
    </w:sdt>
    <w:p w14:paraId="547664A6">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4BFC941D">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14362D95">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3BEE0D78">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1C57CED8">
      <w:pPr>
        <w:pStyle w:val="11"/>
        <w:keepNext w:val="0"/>
        <w:keepLines w:val="0"/>
        <w:widowControl/>
        <w:suppressLineNumbers w:val="0"/>
        <w:spacing w:before="0" w:beforeAutospacing="0" w:after="0" w:afterAutospacing="0"/>
        <w:ind w:left="0" w:right="0" w:firstLine="0"/>
        <w:rPr>
          <w:rStyle w:val="17"/>
          <w:rFonts w:hint="eastAsia"/>
          <w:lang w:val="en-US" w:eastAsia="zh-CN"/>
        </w:rPr>
        <w:sectPr>
          <w:pgSz w:w="11906" w:h="16838"/>
          <w:pgMar w:top="1440" w:right="1800" w:bottom="1440" w:left="1800" w:header="851" w:footer="992" w:gutter="0"/>
          <w:pgNumType w:fmt="decimal" w:start="1"/>
          <w:cols w:space="425" w:num="1"/>
          <w:docGrid w:type="lines" w:linePitch="312" w:charSpace="0"/>
        </w:sectPr>
      </w:pPr>
    </w:p>
    <w:p w14:paraId="6EDD0DD2">
      <w:pPr>
        <w:pStyle w:val="11"/>
        <w:keepNext w:val="0"/>
        <w:keepLines w:val="0"/>
        <w:widowControl/>
        <w:numPr>
          <w:ilvl w:val="0"/>
          <w:numId w:val="1"/>
        </w:numPr>
        <w:suppressLineNumbers w:val="0"/>
        <w:spacing w:before="0" w:beforeAutospacing="0" w:after="0" w:afterAutospacing="0"/>
        <w:ind w:left="0" w:right="0" w:firstLine="0"/>
        <w:rPr>
          <w:rStyle w:val="17"/>
          <w:rFonts w:hint="eastAsia" w:ascii="宋体" w:hAnsi="宋体" w:eastAsia="宋体" w:cs="宋体"/>
          <w:sz w:val="28"/>
          <w:szCs w:val="28"/>
          <w:lang w:val="en-US" w:eastAsia="zh-CN"/>
        </w:rPr>
      </w:pPr>
      <w:bookmarkStart w:id="0" w:name="_Toc14505"/>
      <w:r>
        <w:rPr>
          <w:rStyle w:val="17"/>
          <w:rFonts w:hint="eastAsia" w:ascii="黑体" w:hAnsi="黑体" w:eastAsia="黑体" w:cs="黑体"/>
          <w:sz w:val="28"/>
          <w:szCs w:val="28"/>
          <w:lang w:val="en-US" w:eastAsia="zh-CN"/>
        </w:rPr>
        <w:t>金融领域密码应用</w:t>
      </w:r>
      <w:r>
        <w:rPr>
          <w:rStyle w:val="17"/>
          <w:rFonts w:hint="eastAsia" w:ascii="黑体" w:hAnsi="黑体" w:eastAsia="黑体" w:cs="黑体"/>
          <w:sz w:val="28"/>
          <w:szCs w:val="28"/>
          <w:lang w:val="en-US" w:eastAsia="zh-CN"/>
        </w:rPr>
        <w:br w:type="textWrapping"/>
      </w:r>
      <w:bookmarkEnd w:id="0"/>
    </w:p>
    <w:p w14:paraId="3AB85038">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《中国人民银行 国家发展改革委 工业和信息化部 金融监管总局 中国证监会 国家数据局 国家外汇局关于印发＜推动数字金融高质量发展行动方案＞的通知》</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银发〔2024〕200号，发文时间：2024年11月21日</w:t>
      </w:r>
    </w:p>
    <w:p w14:paraId="45B45CC2">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（十七）加强数据和网络安全防护。指导金融机构严格落实数据保护法律法规和标准规范，完善数据安全管理体系，强化数据安全的商用密码保护，建立健全全流程数据安全管理机制。</w:t>
      </w:r>
    </w:p>
    <w:p w14:paraId="080260AB">
      <w:pPr>
        <w:pStyle w:val="11"/>
        <w:keepNext w:val="0"/>
        <w:keepLines w:val="0"/>
        <w:widowControl/>
        <w:suppressLineNumbers w:val="0"/>
        <w:spacing w:before="0" w:beforeAutospacing="0" w:after="0" w:afterAutospacing="0"/>
        <w:ind w:left="0" w:right="0" w:firstLine="0"/>
        <w:rPr>
          <w:rStyle w:val="16"/>
          <w:rFonts w:hint="eastAsia" w:ascii="宋体" w:hAnsi="宋体" w:eastAsia="宋体" w:cs="宋体"/>
          <w:b w:val="0"/>
          <w:bCs w:val="0"/>
          <w:kern w:val="2"/>
          <w:sz w:val="24"/>
          <w:szCs w:val="24"/>
          <w:lang w:val="en-US" w:eastAsia="zh-CN" w:bidi="ar-SA"/>
        </w:rPr>
      </w:pPr>
      <w:r>
        <w:rPr>
          <w:rStyle w:val="16"/>
          <w:rFonts w:hint="eastAsia" w:ascii="宋体" w:hAnsi="宋体" w:eastAsia="宋体" w:cs="宋体"/>
          <w:b w:val="0"/>
          <w:bCs w:val="0"/>
          <w:kern w:val="2"/>
          <w:sz w:val="24"/>
          <w:szCs w:val="24"/>
          <w:lang w:val="en-US" w:eastAsia="zh-CN" w:bidi="ar-SA"/>
        </w:rPr>
        <w:fldChar w:fldCharType="begin"/>
      </w:r>
      <w:r>
        <w:rPr>
          <w:rStyle w:val="16"/>
          <w:rFonts w:hint="eastAsia" w:ascii="宋体" w:hAnsi="宋体" w:eastAsia="宋体" w:cs="宋体"/>
          <w:b w:val="0"/>
          <w:bCs w:val="0"/>
          <w:kern w:val="2"/>
          <w:sz w:val="24"/>
          <w:szCs w:val="24"/>
          <w:lang w:val="en-US" w:eastAsia="zh-CN" w:bidi="ar-SA"/>
        </w:rPr>
        <w:instrText xml:space="preserve"> HYPERLINK "http://www.pbc.gov.cn/goutongjiaoliu/113456/113469/5519902/index.html" </w:instrText>
      </w:r>
      <w:r>
        <w:rPr>
          <w:rStyle w:val="16"/>
          <w:rFonts w:hint="eastAsia" w:ascii="宋体" w:hAnsi="宋体" w:eastAsia="宋体" w:cs="宋体"/>
          <w:b w:val="0"/>
          <w:bCs w:val="0"/>
          <w:kern w:val="2"/>
          <w:sz w:val="24"/>
          <w:szCs w:val="24"/>
          <w:lang w:val="en-US" w:eastAsia="zh-CN" w:bidi="ar-SA"/>
        </w:rPr>
        <w:fldChar w:fldCharType="separate"/>
      </w:r>
      <w:r>
        <w:rPr>
          <w:rStyle w:val="16"/>
          <w:rFonts w:hint="eastAsia" w:ascii="宋体" w:hAnsi="宋体" w:eastAsia="宋体" w:cs="宋体"/>
          <w:b w:val="0"/>
          <w:bCs w:val="0"/>
          <w:kern w:val="2"/>
          <w:sz w:val="24"/>
          <w:szCs w:val="24"/>
          <w:lang w:val="en-US" w:eastAsia="zh-CN" w:bidi="ar-SA"/>
        </w:rPr>
        <w:t>http://www.pbc.gov.cn/goutongjiaoliu/113456/113469/5519902/index.html</w:t>
      </w:r>
      <w:r>
        <w:rPr>
          <w:rStyle w:val="16"/>
          <w:rFonts w:hint="eastAsia" w:ascii="宋体" w:hAnsi="宋体" w:eastAsia="宋体" w:cs="宋体"/>
          <w:b w:val="0"/>
          <w:bCs w:val="0"/>
          <w:kern w:val="2"/>
          <w:sz w:val="24"/>
          <w:szCs w:val="24"/>
          <w:lang w:val="en-US" w:eastAsia="zh-CN" w:bidi="ar-SA"/>
        </w:rPr>
        <w:fldChar w:fldCharType="end"/>
      </w:r>
    </w:p>
    <w:p w14:paraId="28E76990">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sz w:val="24"/>
          <w:szCs w:val="24"/>
          <w:lang w:val="en-US" w:eastAsia="zh-CN"/>
        </w:rPr>
      </w:pPr>
    </w:p>
    <w:p w14:paraId="1B46E8D6">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sz w:val="24"/>
          <w:szCs w:val="24"/>
          <w:lang w:val="en-US" w:eastAsia="zh-CN"/>
        </w:rPr>
      </w:pPr>
    </w:p>
    <w:p w14:paraId="1DC5EDA1">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《证券期货业网络和信息安全管理办法》</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中国证券监督管理委员会令（第218号），</w:t>
      </w:r>
      <w:r>
        <w:rPr>
          <w:rFonts w:hint="eastAsia" w:ascii="宋体" w:hAnsi="宋体" w:eastAsia="宋体" w:cs="宋体"/>
          <w:i w:val="0"/>
          <w:iCs w:val="0"/>
          <w:caps w:val="0"/>
          <w:color w:val="333333"/>
          <w:spacing w:val="0"/>
          <w:sz w:val="24"/>
          <w:szCs w:val="24"/>
          <w:shd w:val="clear" w:fill="FFFFFF"/>
        </w:rPr>
        <w:t>2023年5月1日起施行</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　　第二十六条　核心机构应当对交易、行情、开户、结算、风控、通信等重要信息系统具有自主开发能力，掌握执行程序和源代码并安全可靠存放。</w:t>
      </w:r>
    </w:p>
    <w:p w14:paraId="5B01245E">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经营机构应当根据自身发展需要，加强自主研发能力建设，持续提升自主可控能力。</w:t>
      </w:r>
    </w:p>
    <w:p w14:paraId="11528DFA">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核心机构和经营机构应当按照国家及中国证监会有关要求，开展信息技术应用创新以及商用密码应用相关工作。</w:t>
      </w:r>
    </w:p>
    <w:p w14:paraId="299981CF">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sz w:val="24"/>
          <w:szCs w:val="24"/>
          <w:lang w:val="en-US" w:eastAsia="zh-CN"/>
        </w:rPr>
      </w:pPr>
      <w:r>
        <w:rPr>
          <w:rFonts w:hint="eastAsia" w:ascii="宋体" w:hAnsi="宋体" w:eastAsia="宋体" w:cs="宋体"/>
          <w:b w:val="0"/>
          <w:bCs w:val="0"/>
          <w:kern w:val="2"/>
          <w:sz w:val="24"/>
          <w:szCs w:val="24"/>
          <w:lang w:val="en-US" w:eastAsia="zh-CN" w:bidi="ar-SA"/>
        </w:rPr>
        <w:fldChar w:fldCharType="begin"/>
      </w:r>
      <w:r>
        <w:rPr>
          <w:rFonts w:hint="eastAsia" w:ascii="宋体" w:hAnsi="宋体" w:eastAsia="宋体" w:cs="宋体"/>
          <w:b w:val="0"/>
          <w:bCs w:val="0"/>
          <w:kern w:val="2"/>
          <w:sz w:val="24"/>
          <w:szCs w:val="24"/>
          <w:lang w:val="en-US" w:eastAsia="zh-CN" w:bidi="ar-SA"/>
        </w:rPr>
        <w:instrText xml:space="preserve"> HYPERLINK "https://www.gov.cn/gongbao/2023/issue_10526/202306/content_6887131.html" </w:instrText>
      </w:r>
      <w:r>
        <w:rPr>
          <w:rFonts w:hint="eastAsia" w:ascii="宋体" w:hAnsi="宋体" w:eastAsia="宋体" w:cs="宋体"/>
          <w:b w:val="0"/>
          <w:bCs w:val="0"/>
          <w:kern w:val="2"/>
          <w:sz w:val="24"/>
          <w:szCs w:val="24"/>
          <w:lang w:val="en-US" w:eastAsia="zh-CN" w:bidi="ar-SA"/>
        </w:rPr>
        <w:fldChar w:fldCharType="separate"/>
      </w:r>
      <w:r>
        <w:rPr>
          <w:rStyle w:val="16"/>
          <w:rFonts w:hint="eastAsia" w:ascii="宋体" w:hAnsi="宋体" w:eastAsia="宋体" w:cs="宋体"/>
          <w:b w:val="0"/>
          <w:bCs w:val="0"/>
          <w:kern w:val="2"/>
          <w:sz w:val="24"/>
          <w:szCs w:val="24"/>
          <w:lang w:val="en-US" w:eastAsia="zh-CN" w:bidi="ar-SA"/>
        </w:rPr>
        <w:t>https://www.gov.cn/gongbao/2023/issue_10526/202306/content_6887131.html</w:t>
      </w:r>
      <w:r>
        <w:rPr>
          <w:rFonts w:hint="eastAsia" w:ascii="宋体" w:hAnsi="宋体" w:eastAsia="宋体" w:cs="宋体"/>
          <w:b w:val="0"/>
          <w:bCs w:val="0"/>
          <w:kern w:val="2"/>
          <w:sz w:val="24"/>
          <w:szCs w:val="24"/>
          <w:lang w:val="en-US" w:eastAsia="zh-CN" w:bidi="ar-SA"/>
        </w:rPr>
        <w:fldChar w:fldCharType="end"/>
      </w:r>
      <w:r>
        <w:rPr>
          <w:rStyle w:val="17"/>
          <w:rFonts w:hint="eastAsia" w:ascii="宋体" w:hAnsi="宋体" w:eastAsia="宋体" w:cs="宋体"/>
          <w:sz w:val="28"/>
          <w:szCs w:val="28"/>
          <w:lang w:val="en-US" w:eastAsia="zh-CN"/>
        </w:rPr>
        <w:br w:type="textWrapping"/>
      </w:r>
    </w:p>
    <w:p w14:paraId="4D510E59">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《银行保险机构消费者权益保护管理办法》</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中国银行保险监督管理委员会令2022 年第9号，自2023年3月1日起施行</w:t>
      </w:r>
    </w:p>
    <w:p w14:paraId="6C14571A">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第四十五条　银行保险机构应当在消费者授权同意等基础上与合作方处理消费者个人信息，在合作协议中应当约定数据保护责任、保密义务、违约责任、合同终止和突发情况下的处置条款。</w:t>
      </w:r>
    </w:p>
    <w:p w14:paraId="2CFD667D">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合作过程中，银行保险机构应当严格控制合作方行为与权限，通过加密传输、安全隔离、权限管控、监测报警、去标识化等方式，防范数据滥用或者泄露风险。</w:t>
      </w:r>
    </w:p>
    <w:p w14:paraId="33BB4ADF">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sz w:val="24"/>
          <w:szCs w:val="24"/>
          <w:shd w:val="clear" w:color="FFFFFF" w:fill="D9D9D9"/>
          <w:lang w:val="en-US" w:eastAsia="zh-CN"/>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"https://www.gov.cn/gongbao/content/2023/content_5753317.htm"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https://www.gov.cn/gongbao/content/2023/content_5753317.htm</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w:t>
      </w:r>
      <w:r>
        <w:rPr>
          <w:rFonts w:hint="eastAsia" w:ascii="宋体" w:hAnsi="宋体" w:eastAsia="宋体" w:cs="宋体"/>
          <w:b w:val="0"/>
          <w:bCs w:val="0"/>
          <w:kern w:val="2"/>
          <w:sz w:val="24"/>
          <w:szCs w:val="24"/>
          <w:lang w:val="en-US" w:eastAsia="zh-CN" w:bidi="ar-SA"/>
        </w:rPr>
        <w:t>中国人民银行 市场监管总局 银保监会 证监会关于印发＜金融标准化“十四五”发展规划＞的通知</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kern w:val="2"/>
          <w:sz w:val="24"/>
          <w:szCs w:val="24"/>
          <w:lang w:val="en-US" w:eastAsia="zh-CN" w:bidi="ar-SA"/>
        </w:rPr>
        <w:t>银发〔2022〕18号，成文日期为2022年1月23日</w:t>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shd w:val="clear" w:color="auto" w:fill="auto"/>
          <w:lang w:val="en-US" w:eastAsia="zh-CN"/>
        </w:rPr>
        <w:t>　　</w:t>
      </w:r>
      <w:r>
        <w:rPr>
          <w:rFonts w:hint="eastAsia" w:ascii="宋体" w:hAnsi="宋体" w:eastAsia="宋体" w:cs="宋体"/>
          <w:b w:val="0"/>
          <w:bCs w:val="0"/>
          <w:kern w:val="2"/>
          <w:sz w:val="24"/>
          <w:szCs w:val="24"/>
          <w:lang w:val="en-US" w:eastAsia="zh-CN" w:bidi="ar-SA"/>
        </w:rPr>
        <w:t>·健全金融业网络安全与数据安全标准体系。建立健全金融业关键信息基础设施保护标准体系，支持提升安全防护能力。加强金融网络安全能力评估、风险排查、安全防御、漏洞管理等标准建设，助力提升网络安全威胁发现、监测预警、应急处置、攻击溯源能力。推动金融信息科技外包服务评价、金融机构安全运营中心建设、金融数据分级、生命周期安全与评估、商用密码应用等标准供给与实施。</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"http://www.gov.cn/xinwen/2022-02/09/5672688/files/babb8d6995b14c5e9f1ffac89c6fd999.pdf"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http://www.gov.cn/xinwen/2022-02/09/5672688/files/babb8d6995b14c5e9f1ffac89c6fd999.pdf</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shd w:val="clear" w:color="FFFFFF" w:fill="D9D9D9"/>
          <w:lang w:val="en-US" w:eastAsia="zh-CN"/>
        </w:rPr>
        <w:br w:type="textWrapping"/>
      </w:r>
    </w:p>
    <w:p w14:paraId="4D2D3575">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kern w:val="2"/>
          <w:sz w:val="24"/>
          <w:szCs w:val="24"/>
          <w:lang w:val="en-US" w:eastAsia="zh-CN" w:bidi="ar-SA"/>
        </w:rPr>
        <w:t>《中国人民银行关于加强支付受理终端及相关业务管理的通知》</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银发〔2021〕259号，成文日期为2021年10月12日</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　　·清算机构、收单机构应当按照《中国人民银行关于强化银行卡受理终端安全管理的通知》（银发〔2017〕21号）规定，对银行卡受理终端采取密码识别技术等有效手段，确保银行卡受理终端序列号不被篡改。</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"http://www.gov.cn/zhengce/zhengceku/2022-02/25/content_5675558.htm"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http://www.gov.cn/zhengce/zhengceku/2022-02/25/content_5675558.htm</w:t>
      </w:r>
      <w:r>
        <w:rPr>
          <w:rFonts w:hint="eastAsia" w:ascii="宋体" w:hAnsi="宋体" w:eastAsia="宋体" w:cs="宋体"/>
          <w:b w:val="0"/>
          <w:bCs w:val="0"/>
          <w:sz w:val="24"/>
          <w:szCs w:val="24"/>
          <w:lang w:val="en-US" w:eastAsia="zh-CN"/>
        </w:rPr>
        <w:fldChar w:fldCharType="end"/>
      </w:r>
    </w:p>
    <w:p w14:paraId="4E16F670">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《理财公司理财产品销售管理暂行办法》</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中国银行保险监督管理委员会令2021年第4号，自2021年6月27日起施行</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第七条　理财产品销售机构从事理财产品销售业务活动，应当持续具备下列条件：</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w:t>
      </w:r>
    </w:p>
    <w:p w14:paraId="22C8EE71">
      <w:pPr>
        <w:numPr>
          <w:ilvl w:val="0"/>
          <w:numId w:val="0"/>
        </w:numPr>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　　（四）具备完善的防火墙、入侵检测、数据加密以及灾难恢复等信息安全管理体系和设施；</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w:t>
      </w:r>
      <w:r>
        <w:rPr>
          <w:rFonts w:hint="eastAsia" w:ascii="宋体" w:hAnsi="宋体" w:eastAsia="宋体" w:cs="宋体"/>
          <w:b w:val="0"/>
          <w:bCs w:val="0"/>
          <w:sz w:val="24"/>
          <w:szCs w:val="24"/>
          <w:lang w:val="en-US" w:eastAsia="zh-CN"/>
        </w:rPr>
        <w:br w:type="textWrapping"/>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"https://www.gov.cn/gongbao/content/2021/content_5625997.htm" </w:instrText>
      </w:r>
      <w:r>
        <w:rPr>
          <w:rFonts w:hint="eastAsia" w:ascii="宋体" w:hAnsi="宋体" w:eastAsia="宋体" w:cs="宋体"/>
          <w:i w:val="0"/>
          <w:iCs w:val="0"/>
          <w:caps w:val="0"/>
          <w:color w:val="333333"/>
          <w:spacing w:val="0"/>
          <w:sz w:val="24"/>
          <w:szCs w:val="24"/>
          <w:shd w:val="clear" w:fill="FFFFFF"/>
        </w:rPr>
        <w:fldChar w:fldCharType="separate"/>
      </w:r>
      <w:r>
        <w:rPr>
          <w:rStyle w:val="16"/>
          <w:rFonts w:hint="eastAsia" w:ascii="宋体" w:hAnsi="宋体" w:eastAsia="宋体" w:cs="宋体"/>
          <w:i w:val="0"/>
          <w:iCs w:val="0"/>
          <w:caps w:val="0"/>
          <w:spacing w:val="0"/>
          <w:sz w:val="24"/>
          <w:szCs w:val="24"/>
          <w:shd w:val="clear" w:fill="FFFFFF"/>
        </w:rPr>
        <w:t>https://www.gov.cn/gongbao/content/2021/content_5625997.htm</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《证券基金经营机构信息技术管理办法》</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中国证券监督管理委员会令第179号，自</w:t>
      </w:r>
      <w:r>
        <w:rPr>
          <w:rFonts w:hint="eastAsia" w:ascii="宋体" w:hAnsi="宋体" w:eastAsia="宋体" w:cs="宋体"/>
          <w:b w:val="0"/>
          <w:bCs w:val="0"/>
          <w:kern w:val="2"/>
          <w:sz w:val="24"/>
          <w:szCs w:val="24"/>
          <w:lang w:val="en-US" w:eastAsia="zh-CN" w:bidi="ar-SA"/>
        </w:rPr>
        <w:t>2021年1月15日起修正施行</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 xml:space="preserve">  第三十一条　证券基金经营机构应当完善网络隔离、用户认证、访问控制、数据加密、数据备份、数据销毁、日志记录、病毒防范和非法入侵检测等安全保障措施，保护经营数据和客户信息安全，防范信息泄露与损毁。</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fldChar w:fldCharType="begin"/>
      </w:r>
      <w:r>
        <w:rPr>
          <w:rFonts w:hint="eastAsia" w:ascii="宋体" w:hAnsi="宋体" w:eastAsia="宋体" w:cs="宋体"/>
          <w:b w:val="0"/>
          <w:bCs w:val="0"/>
          <w:kern w:val="2"/>
          <w:sz w:val="24"/>
          <w:szCs w:val="24"/>
          <w:lang w:val="en-US" w:eastAsia="zh-CN" w:bidi="ar-SA"/>
        </w:rPr>
        <w:instrText xml:space="preserve"> HYPERLINK "https://www.gov.cn/gongbao/content/2021/content_5600087.htm" </w:instrText>
      </w:r>
      <w:r>
        <w:rPr>
          <w:rFonts w:hint="eastAsia" w:ascii="宋体" w:hAnsi="宋体" w:eastAsia="宋体" w:cs="宋体"/>
          <w:b w:val="0"/>
          <w:bCs w:val="0"/>
          <w:kern w:val="2"/>
          <w:sz w:val="24"/>
          <w:szCs w:val="24"/>
          <w:lang w:val="en-US" w:eastAsia="zh-CN" w:bidi="ar-SA"/>
        </w:rPr>
        <w:fldChar w:fldCharType="separate"/>
      </w:r>
      <w:r>
        <w:rPr>
          <w:rStyle w:val="16"/>
          <w:rFonts w:hint="eastAsia" w:ascii="宋体" w:hAnsi="宋体" w:eastAsia="宋体" w:cs="宋体"/>
          <w:b w:val="0"/>
          <w:bCs w:val="0"/>
          <w:kern w:val="2"/>
          <w:sz w:val="24"/>
          <w:szCs w:val="24"/>
          <w:lang w:val="en-US" w:eastAsia="zh-CN" w:bidi="ar-SA"/>
        </w:rPr>
        <w:t>https://www.gov.cn/gongbao/content/2021/content_5600087.htm</w:t>
      </w:r>
      <w:r>
        <w:rPr>
          <w:rStyle w:val="16"/>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fldChar w:fldCharType="end"/>
      </w:r>
    </w:p>
    <w:p w14:paraId="1F3C64F1">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《中国银保监会关于印发监管数据安全管理办法（试行）的通知》</w:t>
      </w:r>
    </w:p>
    <w:p w14:paraId="5C4ADE41">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银保监发〔2020〕43号，自</w:t>
      </w:r>
      <w:r>
        <w:rPr>
          <w:rFonts w:hint="eastAsia" w:ascii="宋体" w:hAnsi="宋体" w:eastAsia="宋体" w:cs="宋体"/>
          <w:b w:val="0"/>
          <w:bCs w:val="0"/>
          <w:kern w:val="2"/>
          <w:sz w:val="24"/>
          <w:szCs w:val="24"/>
          <w:lang w:val="en-US" w:eastAsia="zh-CN" w:bidi="ar-SA"/>
        </w:rPr>
        <w:t>2020年9月23日起施行</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w:t>
      </w:r>
      <w:r>
        <w:rPr>
          <w:rFonts w:hint="eastAsia" w:ascii="宋体" w:hAnsi="宋体" w:eastAsia="宋体" w:cs="宋体"/>
          <w:b w:val="0"/>
          <w:bCs w:val="0"/>
          <w:kern w:val="2"/>
          <w:sz w:val="24"/>
          <w:szCs w:val="24"/>
          <w:lang w:val="en-US" w:eastAsia="zh-CN" w:bidi="ar-SA"/>
        </w:rPr>
        <w:t>·</w:t>
      </w:r>
      <w:r>
        <w:rPr>
          <w:rFonts w:hint="eastAsia" w:ascii="宋体" w:hAnsi="宋体" w:eastAsia="宋体" w:cs="宋体"/>
          <w:b w:val="0"/>
          <w:bCs w:val="0"/>
          <w:sz w:val="24"/>
          <w:szCs w:val="24"/>
          <w:lang w:val="en-US" w:eastAsia="zh-CN"/>
        </w:rPr>
        <w:t>本办法所称监管数据安全是指监管数据在采集、处理、存储、使用等活动（以下简称监管数据活动）中，处于可用、完整和可审计状态，未发生泄露、篡改、损毁、丢失或非法使用等情况。</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w:t>
      </w:r>
      <w:r>
        <w:rPr>
          <w:rFonts w:hint="eastAsia" w:ascii="宋体" w:hAnsi="宋体" w:eastAsia="宋体" w:cs="宋体"/>
          <w:b w:val="0"/>
          <w:bCs w:val="0"/>
          <w:kern w:val="2"/>
          <w:sz w:val="24"/>
          <w:szCs w:val="24"/>
          <w:lang w:val="en-US" w:eastAsia="zh-CN" w:bidi="ar-SA"/>
        </w:rPr>
        <w:t>·</w:t>
      </w:r>
      <w:r>
        <w:rPr>
          <w:rFonts w:hint="eastAsia" w:ascii="宋体" w:hAnsi="宋体" w:eastAsia="宋体" w:cs="宋体"/>
          <w:b w:val="0"/>
          <w:bCs w:val="0"/>
          <w:sz w:val="24"/>
          <w:szCs w:val="24"/>
          <w:lang w:val="en-US" w:eastAsia="zh-CN"/>
        </w:rPr>
        <w:t>银保监会建立健全监管数据安全协同管理体系，推动银保监会有关业务部门、各级派出机构、受托机构等共同参与监管数据安全保护工作，加强培训教育，形成共同维护监管数据安全的良好环境。</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"http://www.cbirc.gov.cn/cn/view/pages/ItemDetail.html?docId=959801&amp;itemId=928&amp;generaltype=0"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http://www.cbirc.gov.cn/cn/view/pages/ItemDetail.html?docId=959801&amp;itemId=928&amp;generaltype=0</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p>
    <w:p w14:paraId="121F55E5">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《中国银保监会办公厅关于预防银行业保险业从业人员金融违法犯罪的指导意见》</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银保监办发﹝2020﹞18号，成文日期为2020年2月24日</w:t>
      </w:r>
    </w:p>
    <w:p w14:paraId="7D9E4C35">
      <w:pPr>
        <w:ind w:firstLine="48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·银行保险机构要制定内部网络安全管理制度和操作规程，建立监督制约机制，确保制度得到刚性执行。加强数据安全管理，严格控制数据授权范围，实现数据分类、重要数据备份和加密。</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"http://www.gov.cn/zhengce/zhengceku/2020-03/24/content_5494985.htm"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http://www.gov.cn/zhengce/zhengceku/2020-03/24/content_5494985.htm</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rPr>
        <w:br w:type="textWrapping"/>
      </w:r>
    </w:p>
    <w:p w14:paraId="62008BB1">
      <w:pPr>
        <w:ind w:firstLine="480"/>
        <w:jc w:val="left"/>
        <w:rPr>
          <w:rFonts w:hint="eastAsia" w:ascii="宋体" w:hAnsi="宋体" w:eastAsia="宋体" w:cs="宋体"/>
          <w:b w:val="0"/>
          <w:bCs w:val="0"/>
          <w:sz w:val="24"/>
          <w:szCs w:val="24"/>
        </w:rPr>
      </w:pPr>
    </w:p>
    <w:p w14:paraId="2B1596F9">
      <w:pPr>
        <w:ind w:firstLine="480"/>
        <w:jc w:val="left"/>
        <w:rPr>
          <w:rFonts w:hint="eastAsia" w:ascii="宋体" w:hAnsi="宋体" w:eastAsia="宋体" w:cs="宋体"/>
          <w:b w:val="0"/>
          <w:bCs w:val="0"/>
          <w:sz w:val="24"/>
          <w:szCs w:val="24"/>
        </w:rPr>
      </w:pPr>
    </w:p>
    <w:p w14:paraId="36D77C82">
      <w:pPr>
        <w:ind w:firstLine="480"/>
        <w:jc w:val="left"/>
        <w:rPr>
          <w:rFonts w:hint="eastAsia" w:ascii="宋体" w:hAnsi="宋体" w:eastAsia="宋体" w:cs="宋体"/>
          <w:b w:val="0"/>
          <w:bCs w:val="0"/>
          <w:sz w:val="24"/>
          <w:szCs w:val="24"/>
        </w:rPr>
      </w:pPr>
    </w:p>
    <w:p w14:paraId="1D7358CA">
      <w:pPr>
        <w:ind w:firstLine="480"/>
        <w:jc w:val="left"/>
        <w:rPr>
          <w:rFonts w:hint="eastAsia" w:ascii="宋体" w:hAnsi="宋体" w:eastAsia="宋体" w:cs="宋体"/>
          <w:b w:val="0"/>
          <w:bCs w:val="0"/>
          <w:sz w:val="24"/>
          <w:szCs w:val="24"/>
        </w:rPr>
      </w:pPr>
    </w:p>
    <w:p w14:paraId="1E816C42">
      <w:pPr>
        <w:ind w:firstLine="480"/>
        <w:jc w:val="left"/>
        <w:rPr>
          <w:rFonts w:hint="eastAsia" w:ascii="宋体" w:hAnsi="宋体" w:eastAsia="宋体" w:cs="宋体"/>
          <w:b w:val="0"/>
          <w:bCs w:val="0"/>
          <w:sz w:val="24"/>
          <w:szCs w:val="24"/>
        </w:rPr>
      </w:pPr>
    </w:p>
    <w:p w14:paraId="52E80E2E">
      <w:pPr>
        <w:ind w:firstLine="480"/>
        <w:jc w:val="left"/>
        <w:rPr>
          <w:rFonts w:hint="eastAsia" w:ascii="宋体" w:hAnsi="宋体" w:eastAsia="宋体" w:cs="宋体"/>
          <w:b w:val="0"/>
          <w:bCs w:val="0"/>
          <w:sz w:val="24"/>
          <w:szCs w:val="24"/>
        </w:rPr>
      </w:pPr>
    </w:p>
    <w:p w14:paraId="4B7DEBD1">
      <w:pPr>
        <w:ind w:firstLine="480"/>
        <w:jc w:val="left"/>
        <w:rPr>
          <w:rFonts w:hint="eastAsia" w:ascii="宋体" w:hAnsi="宋体" w:eastAsia="宋体" w:cs="宋体"/>
          <w:b w:val="0"/>
          <w:bCs w:val="0"/>
          <w:sz w:val="24"/>
          <w:szCs w:val="24"/>
        </w:rPr>
      </w:pPr>
    </w:p>
    <w:p w14:paraId="4835CCA8">
      <w:pPr>
        <w:ind w:firstLine="480"/>
        <w:jc w:val="left"/>
        <w:rPr>
          <w:rFonts w:hint="eastAsia" w:ascii="宋体" w:hAnsi="宋体" w:eastAsia="宋体" w:cs="宋体"/>
          <w:b w:val="0"/>
          <w:bCs w:val="0"/>
          <w:sz w:val="24"/>
          <w:szCs w:val="24"/>
        </w:rPr>
      </w:pPr>
    </w:p>
    <w:p w14:paraId="3A2C250B">
      <w:pPr>
        <w:ind w:firstLine="480"/>
        <w:jc w:val="left"/>
        <w:rPr>
          <w:rFonts w:hint="eastAsia" w:ascii="宋体" w:hAnsi="宋体" w:eastAsia="宋体" w:cs="宋体"/>
          <w:b w:val="0"/>
          <w:bCs w:val="0"/>
          <w:sz w:val="24"/>
          <w:szCs w:val="24"/>
        </w:rPr>
      </w:pPr>
    </w:p>
    <w:p w14:paraId="2F3CE417">
      <w:pPr>
        <w:ind w:firstLine="480"/>
        <w:jc w:val="left"/>
        <w:rPr>
          <w:rFonts w:hint="eastAsia" w:ascii="宋体" w:hAnsi="宋体" w:eastAsia="宋体" w:cs="宋体"/>
          <w:b w:val="0"/>
          <w:bCs w:val="0"/>
          <w:sz w:val="24"/>
          <w:szCs w:val="24"/>
        </w:rPr>
      </w:pPr>
    </w:p>
    <w:p w14:paraId="2B977712">
      <w:pPr>
        <w:ind w:firstLine="480"/>
        <w:jc w:val="left"/>
        <w:rPr>
          <w:rFonts w:hint="eastAsia" w:ascii="宋体" w:hAnsi="宋体" w:eastAsia="宋体" w:cs="宋体"/>
          <w:b w:val="0"/>
          <w:bCs w:val="0"/>
          <w:sz w:val="24"/>
          <w:szCs w:val="24"/>
        </w:rPr>
      </w:pPr>
    </w:p>
    <w:p w14:paraId="7FE4CEAB">
      <w:pPr>
        <w:ind w:firstLine="480"/>
        <w:jc w:val="left"/>
        <w:rPr>
          <w:rFonts w:hint="eastAsia" w:ascii="宋体" w:hAnsi="宋体" w:eastAsia="宋体" w:cs="宋体"/>
          <w:b w:val="0"/>
          <w:bCs w:val="0"/>
          <w:sz w:val="24"/>
          <w:szCs w:val="24"/>
        </w:rPr>
      </w:pPr>
    </w:p>
    <w:p w14:paraId="5C566D2F">
      <w:pPr>
        <w:ind w:firstLine="480"/>
        <w:jc w:val="left"/>
        <w:rPr>
          <w:rFonts w:hint="eastAsia" w:ascii="宋体" w:hAnsi="宋体" w:eastAsia="宋体" w:cs="宋体"/>
          <w:b w:val="0"/>
          <w:bCs w:val="0"/>
          <w:sz w:val="24"/>
          <w:szCs w:val="24"/>
        </w:rPr>
      </w:pPr>
    </w:p>
    <w:p w14:paraId="21A2E474">
      <w:pPr>
        <w:ind w:firstLine="480"/>
        <w:jc w:val="left"/>
        <w:rPr>
          <w:rFonts w:hint="eastAsia" w:ascii="宋体" w:hAnsi="宋体" w:eastAsia="宋体" w:cs="宋体"/>
          <w:b w:val="0"/>
          <w:bCs w:val="0"/>
          <w:sz w:val="24"/>
          <w:szCs w:val="24"/>
        </w:rPr>
      </w:pPr>
    </w:p>
    <w:p w14:paraId="2FFC6793">
      <w:pPr>
        <w:ind w:firstLine="480"/>
        <w:jc w:val="left"/>
        <w:rPr>
          <w:rFonts w:hint="eastAsia" w:ascii="宋体" w:hAnsi="宋体" w:eastAsia="宋体" w:cs="宋体"/>
          <w:b w:val="0"/>
          <w:bCs w:val="0"/>
          <w:sz w:val="24"/>
          <w:szCs w:val="24"/>
        </w:rPr>
      </w:pPr>
    </w:p>
    <w:p w14:paraId="2E65616C">
      <w:pPr>
        <w:ind w:firstLine="480"/>
        <w:jc w:val="left"/>
        <w:rPr>
          <w:rFonts w:hint="eastAsia" w:ascii="宋体" w:hAnsi="宋体" w:eastAsia="宋体" w:cs="宋体"/>
          <w:b w:val="0"/>
          <w:bCs w:val="0"/>
          <w:sz w:val="24"/>
          <w:szCs w:val="24"/>
        </w:rPr>
      </w:pPr>
    </w:p>
    <w:p w14:paraId="2A31BF63">
      <w:pPr>
        <w:ind w:firstLine="480"/>
        <w:jc w:val="left"/>
        <w:rPr>
          <w:rFonts w:hint="eastAsia" w:ascii="宋体" w:hAnsi="宋体" w:eastAsia="宋体" w:cs="宋体"/>
          <w:b w:val="0"/>
          <w:bCs w:val="0"/>
          <w:sz w:val="24"/>
          <w:szCs w:val="24"/>
        </w:rPr>
      </w:pPr>
    </w:p>
    <w:p w14:paraId="4DB76A9A">
      <w:pPr>
        <w:ind w:firstLine="480"/>
        <w:jc w:val="left"/>
        <w:rPr>
          <w:rFonts w:hint="eastAsia" w:ascii="宋体" w:hAnsi="宋体" w:eastAsia="宋体" w:cs="宋体"/>
          <w:b w:val="0"/>
          <w:bCs w:val="0"/>
          <w:sz w:val="24"/>
          <w:szCs w:val="24"/>
        </w:rPr>
      </w:pPr>
    </w:p>
    <w:p w14:paraId="2EC498BA">
      <w:pPr>
        <w:ind w:firstLine="480"/>
        <w:jc w:val="left"/>
        <w:rPr>
          <w:rFonts w:hint="eastAsia" w:ascii="宋体" w:hAnsi="宋体" w:eastAsia="宋体" w:cs="宋体"/>
          <w:b w:val="0"/>
          <w:bCs w:val="0"/>
          <w:sz w:val="24"/>
          <w:szCs w:val="24"/>
        </w:rPr>
      </w:pPr>
    </w:p>
    <w:p w14:paraId="6C50EA22">
      <w:pPr>
        <w:ind w:firstLine="480"/>
        <w:jc w:val="left"/>
        <w:rPr>
          <w:rFonts w:hint="eastAsia" w:ascii="宋体" w:hAnsi="宋体" w:eastAsia="宋体" w:cs="宋体"/>
          <w:b w:val="0"/>
          <w:bCs w:val="0"/>
          <w:sz w:val="24"/>
          <w:szCs w:val="24"/>
        </w:rPr>
      </w:pPr>
    </w:p>
    <w:p w14:paraId="68C8EF99">
      <w:pPr>
        <w:ind w:firstLine="480"/>
        <w:jc w:val="left"/>
        <w:rPr>
          <w:rFonts w:hint="eastAsia" w:ascii="宋体" w:hAnsi="宋体" w:eastAsia="宋体" w:cs="宋体"/>
          <w:b w:val="0"/>
          <w:bCs w:val="0"/>
          <w:sz w:val="24"/>
          <w:szCs w:val="24"/>
        </w:rPr>
      </w:pPr>
    </w:p>
    <w:p w14:paraId="7769A84C">
      <w:pPr>
        <w:ind w:firstLine="480"/>
        <w:jc w:val="left"/>
        <w:rPr>
          <w:rFonts w:hint="eastAsia" w:ascii="宋体" w:hAnsi="宋体" w:eastAsia="宋体" w:cs="宋体"/>
          <w:b w:val="0"/>
          <w:bCs w:val="0"/>
          <w:sz w:val="24"/>
          <w:szCs w:val="24"/>
        </w:rPr>
      </w:pPr>
    </w:p>
    <w:p w14:paraId="0FBF50B1">
      <w:pPr>
        <w:ind w:firstLine="480"/>
        <w:jc w:val="left"/>
        <w:rPr>
          <w:rFonts w:hint="eastAsia" w:ascii="宋体" w:hAnsi="宋体" w:eastAsia="宋体" w:cs="宋体"/>
          <w:b w:val="0"/>
          <w:bCs w:val="0"/>
          <w:sz w:val="24"/>
          <w:szCs w:val="24"/>
        </w:rPr>
      </w:pPr>
    </w:p>
    <w:p w14:paraId="4AB6BD53">
      <w:pPr>
        <w:ind w:firstLine="480"/>
        <w:jc w:val="left"/>
        <w:rPr>
          <w:rFonts w:hint="eastAsia" w:ascii="宋体" w:hAnsi="宋体" w:eastAsia="宋体" w:cs="宋体"/>
          <w:b w:val="0"/>
          <w:bCs w:val="0"/>
          <w:sz w:val="24"/>
          <w:szCs w:val="24"/>
        </w:rPr>
      </w:pPr>
    </w:p>
    <w:p w14:paraId="370F29A6">
      <w:pPr>
        <w:ind w:firstLine="480"/>
        <w:jc w:val="left"/>
        <w:rPr>
          <w:rFonts w:hint="eastAsia" w:ascii="宋体" w:hAnsi="宋体" w:eastAsia="宋体" w:cs="宋体"/>
          <w:b w:val="0"/>
          <w:bCs w:val="0"/>
          <w:sz w:val="24"/>
          <w:szCs w:val="24"/>
        </w:rPr>
      </w:pPr>
    </w:p>
    <w:p w14:paraId="406C43FF">
      <w:pPr>
        <w:ind w:firstLine="480"/>
        <w:jc w:val="left"/>
        <w:rPr>
          <w:rFonts w:hint="eastAsia" w:ascii="宋体" w:hAnsi="宋体" w:eastAsia="宋体" w:cs="宋体"/>
          <w:b w:val="0"/>
          <w:bCs w:val="0"/>
          <w:sz w:val="24"/>
          <w:szCs w:val="24"/>
        </w:rPr>
      </w:pPr>
    </w:p>
    <w:p w14:paraId="1CF48CFE">
      <w:pPr>
        <w:ind w:firstLine="480"/>
        <w:jc w:val="left"/>
        <w:rPr>
          <w:rFonts w:hint="eastAsia" w:ascii="宋体" w:hAnsi="宋体" w:eastAsia="宋体" w:cs="宋体"/>
          <w:b w:val="0"/>
          <w:bCs w:val="0"/>
          <w:sz w:val="24"/>
          <w:szCs w:val="24"/>
        </w:rPr>
      </w:pPr>
    </w:p>
    <w:p w14:paraId="6468DDF8">
      <w:pPr>
        <w:ind w:firstLine="480"/>
        <w:jc w:val="left"/>
        <w:rPr>
          <w:rFonts w:hint="eastAsia" w:ascii="宋体" w:hAnsi="宋体" w:eastAsia="宋体" w:cs="宋体"/>
          <w:b w:val="0"/>
          <w:bCs w:val="0"/>
          <w:sz w:val="24"/>
          <w:szCs w:val="24"/>
        </w:rPr>
      </w:pPr>
    </w:p>
    <w:p w14:paraId="25E470E5">
      <w:pPr>
        <w:ind w:firstLine="480"/>
        <w:jc w:val="left"/>
        <w:rPr>
          <w:rFonts w:hint="eastAsia" w:ascii="宋体" w:hAnsi="宋体" w:eastAsia="宋体" w:cs="宋体"/>
          <w:b w:val="0"/>
          <w:bCs w:val="0"/>
          <w:sz w:val="24"/>
          <w:szCs w:val="24"/>
        </w:rPr>
      </w:pPr>
    </w:p>
    <w:p w14:paraId="00AC9A9A">
      <w:pPr>
        <w:ind w:firstLine="480"/>
        <w:jc w:val="left"/>
        <w:rPr>
          <w:rFonts w:hint="eastAsia" w:ascii="宋体" w:hAnsi="宋体" w:eastAsia="宋体" w:cs="宋体"/>
          <w:b w:val="0"/>
          <w:bCs w:val="0"/>
          <w:sz w:val="24"/>
          <w:szCs w:val="24"/>
        </w:rPr>
      </w:pPr>
    </w:p>
    <w:p w14:paraId="360B275D">
      <w:pPr>
        <w:ind w:firstLine="480"/>
        <w:jc w:val="left"/>
        <w:rPr>
          <w:rFonts w:hint="eastAsia" w:ascii="宋体" w:hAnsi="宋体" w:eastAsia="宋体" w:cs="宋体"/>
          <w:b w:val="0"/>
          <w:bCs w:val="0"/>
          <w:sz w:val="24"/>
          <w:szCs w:val="24"/>
        </w:rPr>
      </w:pPr>
    </w:p>
    <w:p w14:paraId="4CD76131">
      <w:pPr>
        <w:ind w:firstLine="480"/>
        <w:jc w:val="left"/>
        <w:rPr>
          <w:rFonts w:hint="eastAsia" w:ascii="宋体" w:hAnsi="宋体" w:eastAsia="宋体" w:cs="宋体"/>
          <w:b w:val="0"/>
          <w:bCs w:val="0"/>
          <w:sz w:val="24"/>
          <w:szCs w:val="24"/>
        </w:rPr>
      </w:pPr>
    </w:p>
    <w:p w14:paraId="58770EA2">
      <w:pPr>
        <w:ind w:firstLine="480"/>
        <w:jc w:val="left"/>
        <w:rPr>
          <w:rFonts w:hint="eastAsia" w:ascii="宋体" w:hAnsi="宋体" w:eastAsia="宋体" w:cs="宋体"/>
          <w:b w:val="0"/>
          <w:bCs w:val="0"/>
          <w:sz w:val="24"/>
          <w:szCs w:val="24"/>
        </w:rPr>
      </w:pPr>
    </w:p>
    <w:p w14:paraId="30A2CD4A">
      <w:pPr>
        <w:ind w:firstLine="480"/>
        <w:jc w:val="left"/>
        <w:rPr>
          <w:rFonts w:hint="eastAsia" w:ascii="宋体" w:hAnsi="宋体" w:eastAsia="宋体" w:cs="宋体"/>
          <w:b w:val="0"/>
          <w:bCs w:val="0"/>
          <w:sz w:val="24"/>
          <w:szCs w:val="24"/>
        </w:rPr>
      </w:pPr>
    </w:p>
    <w:p w14:paraId="0B0FEDA3">
      <w:pPr>
        <w:ind w:firstLine="480"/>
        <w:jc w:val="left"/>
        <w:rPr>
          <w:rFonts w:hint="eastAsia" w:ascii="宋体" w:hAnsi="宋体" w:eastAsia="宋体" w:cs="宋体"/>
          <w:b w:val="0"/>
          <w:bCs w:val="0"/>
          <w:sz w:val="24"/>
          <w:szCs w:val="24"/>
        </w:rPr>
      </w:pPr>
    </w:p>
    <w:p w14:paraId="60205A48">
      <w:pPr>
        <w:pStyle w:val="2"/>
        <w:bidi w:val="0"/>
        <w:rPr>
          <w:rFonts w:hint="eastAsia"/>
        </w:rPr>
      </w:pPr>
      <w:bookmarkStart w:id="1" w:name="_Toc28728"/>
      <w:r>
        <w:rPr>
          <w:rFonts w:hint="eastAsia"/>
          <w:lang w:val="en-US" w:eastAsia="zh-CN"/>
        </w:rPr>
        <w:t>二、基础设施网络密码应用</w:t>
      </w:r>
      <w:bookmarkEnd w:id="1"/>
    </w:p>
    <w:p w14:paraId="0A303889">
      <w:pPr>
        <w:pStyle w:val="3"/>
        <w:bidi w:val="0"/>
        <w:rPr>
          <w:rFonts w:hint="eastAsia" w:ascii="宋体" w:hAnsi="宋体" w:eastAsia="宋体" w:cs="宋体"/>
          <w:b w:val="0"/>
          <w:bCs w:val="0"/>
          <w:sz w:val="24"/>
          <w:szCs w:val="24"/>
        </w:rPr>
      </w:pPr>
      <w:bookmarkStart w:id="2" w:name="_Toc16979"/>
      <w:r>
        <w:rPr>
          <w:rFonts w:hint="eastAsia" w:ascii="宋体" w:hAnsi="宋体" w:eastAsia="宋体" w:cs="宋体"/>
          <w:sz w:val="24"/>
          <w:szCs w:val="24"/>
          <w:lang w:val="en-US" w:eastAsia="zh-CN"/>
        </w:rPr>
        <w:t>（一）基础信息网络密码应用</w:t>
      </w:r>
      <w:bookmarkEnd w:id="2"/>
    </w:p>
    <w:p w14:paraId="7DCE990A">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《工业和信息化部关于印发“十四五”信息通信行业发展规划的通知》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工信部规〔2021〕164号，成文日期为2021年11月1日</w:t>
      </w:r>
    </w:p>
    <w:p w14:paraId="556BCF3A">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·健全行业网络安全审查体系，推进网络关键设备安全检测认证，建立供应商网络安全成熟度认证等供应链风险管理制度，稳妥有序推进商用密码应用，提升网络基础设施安全保障水平。</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"http://www.gov.cn/zhengce/zhengceku/2021-11/16/content_5651262.htm"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http://www.gov.cn/zhengce/zhengceku/2021-11/16/content_5651262.htm</w:t>
      </w:r>
      <w:r>
        <w:rPr>
          <w:rFonts w:hint="eastAsia" w:ascii="宋体" w:hAnsi="宋体" w:eastAsia="宋体" w:cs="宋体"/>
          <w:b w:val="0"/>
          <w:bCs w:val="0"/>
          <w:sz w:val="24"/>
          <w:szCs w:val="24"/>
          <w:lang w:val="en-US" w:eastAsia="zh-CN"/>
        </w:rPr>
        <w:fldChar w:fldCharType="end"/>
      </w:r>
    </w:p>
    <w:p w14:paraId="09CE0289">
      <w:pPr>
        <w:jc w:val="left"/>
        <w:rPr>
          <w:rFonts w:hint="eastAsia" w:ascii="宋体" w:hAnsi="宋体" w:eastAsia="宋体" w:cs="宋体"/>
          <w:b w:val="0"/>
          <w:bCs w:val="0"/>
          <w:sz w:val="24"/>
          <w:szCs w:val="24"/>
        </w:rPr>
      </w:pPr>
    </w:p>
    <w:p w14:paraId="7D383169">
      <w:pPr>
        <w:jc w:val="left"/>
        <w:rPr>
          <w:rFonts w:hint="eastAsia" w:ascii="宋体" w:hAnsi="宋体" w:eastAsia="宋体" w:cs="宋体"/>
          <w:b w:val="0"/>
          <w:bCs w:val="0"/>
          <w:sz w:val="24"/>
          <w:szCs w:val="24"/>
        </w:rPr>
      </w:pPr>
    </w:p>
    <w:p w14:paraId="75520B14">
      <w:pPr>
        <w:numPr>
          <w:ilvl w:val="0"/>
          <w:numId w:val="0"/>
        </w:num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《工业和信息化部、中央网络安全和信息化委员会办公室 、科学技术部 、生态环境部、住房和城乡建设部 、农业农村部、国家卫生健康委员会、国家能源局关于印发＜物联网新型基础设施建设三年行动计划（2021—2023年）＞的通知》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工信部联科〔2021〕130号，成文日期为2021年9月10日</w:t>
      </w:r>
    </w:p>
    <w:p w14:paraId="08F31CA3">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·强化安全支撑保障。加快物联网领域商用密码技术和产品的应用推广，建设面向物联网领域的密码应用检测平台，提升物联网领域商用密码安全性和应用水平。</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"http://www.gov.cn/zhengce/zhengceku/2021-09/29/content_5640204.htm"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http://www.gov.cn/zhengce/zhengceku/2021-09/29/content_5640204.htm</w:t>
      </w:r>
      <w:r>
        <w:rPr>
          <w:rFonts w:hint="eastAsia" w:ascii="宋体" w:hAnsi="宋体" w:eastAsia="宋体" w:cs="宋体"/>
          <w:b w:val="0"/>
          <w:bCs w:val="0"/>
          <w:sz w:val="24"/>
          <w:szCs w:val="24"/>
          <w:lang w:val="en-US" w:eastAsia="zh-CN"/>
        </w:rPr>
        <w:fldChar w:fldCharType="end"/>
      </w:r>
    </w:p>
    <w:p w14:paraId="3AAD0C60">
      <w:pPr>
        <w:numPr>
          <w:ilvl w:val="0"/>
          <w:numId w:val="0"/>
        </w:numPr>
        <w:jc w:val="left"/>
        <w:rPr>
          <w:rFonts w:hint="eastAsia" w:ascii="宋体" w:hAnsi="宋体" w:eastAsia="宋体" w:cs="宋体"/>
          <w:b w:val="0"/>
          <w:bCs w:val="0"/>
          <w:sz w:val="24"/>
          <w:szCs w:val="24"/>
        </w:rPr>
      </w:pP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rPr>
        <w:t>《工业和信息化部等十二部门关于印发</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5G规模化应用“扬帆”行动升级方案</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的通知》</w:t>
      </w:r>
    </w:p>
    <w:p w14:paraId="19B6246C">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工信部联通信〔2024〕227号</w:t>
      </w:r>
      <w:r>
        <w:rPr>
          <w:rFonts w:hint="eastAsia" w:ascii="宋体" w:hAnsi="宋体" w:eastAsia="宋体" w:cs="宋体"/>
          <w:b w:val="0"/>
          <w:bCs w:val="0"/>
          <w:sz w:val="24"/>
          <w:szCs w:val="24"/>
          <w:lang w:val="en-US" w:eastAsia="zh-CN"/>
        </w:rPr>
        <w:t>，成文日期为</w:t>
      </w:r>
      <w:r>
        <w:rPr>
          <w:rFonts w:hint="eastAsia" w:ascii="宋体" w:hAnsi="宋体" w:eastAsia="宋体" w:cs="宋体"/>
          <w:i w:val="0"/>
          <w:iCs w:val="0"/>
          <w:caps w:val="0"/>
          <w:color w:val="333333"/>
          <w:spacing w:val="0"/>
          <w:sz w:val="24"/>
          <w:szCs w:val="24"/>
          <w:shd w:val="clear" w:fill="FFFFFF"/>
        </w:rPr>
        <w:t>2024年11月22日</w:t>
      </w:r>
    </w:p>
    <w:p w14:paraId="22DD4B46">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（五）筑牢5G应用安全防护屏障</w:t>
      </w:r>
    </w:p>
    <w:p w14:paraId="0060FC29">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完善通信网络安全防护管理，加快新兴行业5G终端安全、网络设备安全、数据安全、密码安全等关键技术研究，推动研制具备虚拟化、智能化、自适应能力的安全产品。发挥5G应用安全创新推广中心集智攻关优势，打造5G应用安全产业核心竞争力。面向重点行业开展5G应用安全标杆锻造，提炼30项以上原子化5G应用安全能力。</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"https://www.gov.cn/zhengce/zhengceku/202411/content_6989412.htm"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https://www.gov.cn/zhengce/zhengceku/202411/content_6989412.htm</w:t>
      </w:r>
      <w:r>
        <w:rPr>
          <w:rFonts w:hint="eastAsia" w:ascii="宋体" w:hAnsi="宋体" w:eastAsia="宋体" w:cs="宋体"/>
          <w:b w:val="0"/>
          <w:bCs w:val="0"/>
          <w:sz w:val="24"/>
          <w:szCs w:val="24"/>
          <w:lang w:val="en-US" w:eastAsia="zh-CN"/>
        </w:rPr>
        <w:fldChar w:fldCharType="end"/>
      </w:r>
    </w:p>
    <w:p w14:paraId="693D94F0">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lang w:val="en-US" w:eastAsia="zh-CN"/>
        </w:rPr>
        <w:t>《工业和信息化部 中央网络安全和信息化委员会办公室 国家发展和改革委员会 教育部 财政部 住房和城乡建设部 文化和旅游部 国家卫生健康委员会 国务院国有资产监督管理委员会 国家能源局关于印发＜5G应用“扬帆”行动计划（2021-2023年）＞的通知》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工信部联通信〔2021〕77号，成文日期为2021年7月5日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·开展5G应用安全示范推广。在5G应用中推广使用商用密码，做好密码应用安全性评估。</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"http://www.gov.cn/zhengce/zhengceku/2021-07/13/content_5624610.htm"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http://www.gov.cn/zhengce/zhengceku/2021-07/13/content_5624610.htm</w:t>
      </w:r>
      <w:r>
        <w:rPr>
          <w:rFonts w:hint="eastAsia" w:ascii="宋体" w:hAnsi="宋体" w:eastAsia="宋体" w:cs="宋体"/>
          <w:b w:val="0"/>
          <w:bCs w:val="0"/>
          <w:sz w:val="24"/>
          <w:szCs w:val="24"/>
          <w:lang w:val="en-US" w:eastAsia="zh-CN"/>
        </w:rPr>
        <w:fldChar w:fldCharType="end"/>
      </w:r>
    </w:p>
    <w:p w14:paraId="77A7E69E">
      <w:pPr>
        <w:jc w:val="left"/>
        <w:rPr>
          <w:rFonts w:hint="eastAsia" w:ascii="宋体" w:hAnsi="宋体" w:eastAsia="宋体" w:cs="宋体"/>
          <w:b w:val="0"/>
          <w:bCs w:val="0"/>
          <w:sz w:val="24"/>
          <w:szCs w:val="24"/>
        </w:rPr>
      </w:pPr>
    </w:p>
    <w:p w14:paraId="04F9B6C4">
      <w:pPr>
        <w:pStyle w:val="3"/>
        <w:bidi w:val="0"/>
        <w:rPr>
          <w:rFonts w:hint="eastAsia" w:ascii="宋体" w:hAnsi="宋体" w:eastAsia="宋体" w:cs="宋体"/>
          <w:sz w:val="24"/>
          <w:szCs w:val="24"/>
          <w:lang w:val="en-US" w:eastAsia="zh-CN"/>
        </w:rPr>
      </w:pPr>
      <w:bookmarkStart w:id="3" w:name="_Toc412"/>
      <w:r>
        <w:rPr>
          <w:rFonts w:hint="eastAsia" w:ascii="宋体" w:hAnsi="宋体" w:eastAsia="宋体" w:cs="宋体"/>
          <w:sz w:val="24"/>
          <w:szCs w:val="24"/>
          <w:lang w:val="en-US" w:eastAsia="zh-CN"/>
        </w:rPr>
        <w:t>（二）交通运输网络密码应用</w:t>
      </w:r>
      <w:bookmarkEnd w:id="3"/>
    </w:p>
    <w:p w14:paraId="159A7042">
      <w:pPr>
        <w:numPr>
          <w:ilvl w:val="0"/>
          <w:numId w:val="0"/>
        </w:numPr>
        <w:jc w:val="left"/>
        <w:rPr>
          <w:rFonts w:hint="eastAsia" w:ascii="宋体" w:hAnsi="宋体" w:eastAsia="宋体" w:cs="宋体"/>
          <w:b w:val="0"/>
          <w:bCs w:val="0"/>
          <w:sz w:val="24"/>
          <w:szCs w:val="24"/>
        </w:rPr>
      </w:pP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铁路关键信息基础设施安全保护管理办法</w:t>
      </w:r>
      <w:r>
        <w:rPr>
          <w:rFonts w:hint="eastAsia" w:ascii="宋体" w:hAnsi="宋体" w:eastAsia="宋体" w:cs="宋体"/>
          <w:b w:val="0"/>
          <w:bCs w:val="0"/>
          <w:sz w:val="24"/>
          <w:szCs w:val="24"/>
          <w:lang w:eastAsia="zh-CN"/>
        </w:rPr>
        <w:t>》</w:t>
      </w:r>
    </w:p>
    <w:p w14:paraId="3CD94EC9">
      <w:pPr>
        <w:numPr>
          <w:ilvl w:val="0"/>
          <w:numId w:val="0"/>
        </w:numPr>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中华人民共和国交通运输部令2023年第20号</w:t>
      </w:r>
      <w:r>
        <w:rPr>
          <w:rFonts w:hint="eastAsia" w:ascii="宋体" w:hAnsi="宋体" w:eastAsia="宋体" w:cs="宋体"/>
          <w:b w:val="0"/>
          <w:bCs w:val="0"/>
          <w:sz w:val="24"/>
          <w:szCs w:val="24"/>
          <w:lang w:eastAsia="zh-CN"/>
        </w:rPr>
        <w:t>，自2024年2月1日起施行</w:t>
      </w:r>
      <w:r>
        <w:rPr>
          <w:rFonts w:hint="eastAsia" w:ascii="宋体" w:hAnsi="宋体" w:eastAsia="宋体" w:cs="宋体"/>
          <w:b w:val="0"/>
          <w:bCs w:val="0"/>
          <w:sz w:val="24"/>
          <w:szCs w:val="24"/>
          <w:lang w:eastAsia="zh-CN"/>
        </w:rPr>
        <w:br w:type="textWrapping"/>
      </w:r>
      <w:r>
        <w:rPr>
          <w:rFonts w:hint="eastAsia" w:ascii="宋体" w:hAnsi="宋体" w:eastAsia="宋体" w:cs="宋体"/>
          <w:b w:val="0"/>
          <w:bCs w:val="0"/>
          <w:sz w:val="24"/>
          <w:szCs w:val="24"/>
          <w:lang w:eastAsia="zh-CN"/>
        </w:rPr>
        <w:t>　　第十七条  法律、行政法规和国家有关规定要求使用商用密码进行保护的铁路关键信息基础设施，运营者应当使用商用密码进行保护，自行或者委托商用密码检测机构每年至少开展一次商用密码应用安全性评估。</w:t>
      </w:r>
    </w:p>
    <w:p w14:paraId="2A6E3BD1">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商用密码应用安全性评估应当与铁路关键信息基础设施安全检测和风险评估、网络安全等级测评制度相衔接，避免重复评估、测评。</w:t>
      </w: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"https://xxgk.mot.gov.cn/2020/jigou/fgs/202401/t20240104_3980678.html" </w:instrText>
      </w:r>
      <w:r>
        <w:rPr>
          <w:rFonts w:hint="eastAsia" w:ascii="宋体" w:hAnsi="宋体" w:eastAsia="宋体" w:cs="宋体"/>
          <w:b w:val="0"/>
          <w:bCs w:val="0"/>
          <w:sz w:val="24"/>
          <w:szCs w:val="24"/>
        </w:rPr>
        <w:fldChar w:fldCharType="separate"/>
      </w:r>
      <w:r>
        <w:rPr>
          <w:rStyle w:val="16"/>
          <w:rFonts w:hint="eastAsia" w:ascii="宋体" w:hAnsi="宋体" w:eastAsia="宋体" w:cs="宋体"/>
          <w:b w:val="0"/>
          <w:bCs w:val="0"/>
          <w:sz w:val="24"/>
          <w:szCs w:val="24"/>
        </w:rPr>
        <w:t>https://xxgk.mot.gov.cn/2020/jigou/fgs/202401/t20240104_3980678.html</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公路水路关键信息基础设施安全保护管理办法</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rPr>
        <w:t>中华人民共和国交通运输部令</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2023年第4号</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，2023年6月1日起施行</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第十八条　法律、行政法规和国家有关规定要求使用商用密码进行保护的公路水路关键信息基础设施，其运营者应当使用商用密码进行保护，自行或者委托商用密码检测机构每年至少开展一次商用密码应用安全性评估。</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"https://www.gov.cn/gongbao/2023/issue_10566/202307/content_6890791.html"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https://www.gov.cn/gongbao/2023/issue_10566/202307/content_6890791.html</w:t>
      </w:r>
      <w:r>
        <w:rPr>
          <w:rFonts w:hint="eastAsia" w:ascii="宋体" w:hAnsi="宋体" w:eastAsia="宋体" w:cs="宋体"/>
          <w:b w:val="0"/>
          <w:bCs w:val="0"/>
          <w:sz w:val="24"/>
          <w:szCs w:val="24"/>
          <w:lang w:val="en-US" w:eastAsia="zh-CN"/>
        </w:rPr>
        <w:fldChar w:fldCharType="end"/>
      </w:r>
    </w:p>
    <w:p w14:paraId="7798D0BA">
      <w:pPr>
        <w:numPr>
          <w:ilvl w:val="0"/>
          <w:numId w:val="0"/>
        </w:numPr>
        <w:jc w:val="left"/>
        <w:rPr>
          <w:rFonts w:hint="eastAsia" w:ascii="宋体" w:hAnsi="宋体" w:eastAsia="宋体" w:cs="宋体"/>
          <w:b w:val="0"/>
          <w:bCs w:val="0"/>
          <w:sz w:val="24"/>
          <w:szCs w:val="24"/>
        </w:rPr>
      </w:pPr>
      <w:r>
        <w:rPr>
          <w:rFonts w:hint="eastAsia" w:ascii="宋体" w:hAnsi="宋体" w:eastAsia="宋体" w:cs="宋体"/>
          <w:b w:val="0"/>
          <w:bCs w:val="0"/>
          <w:sz w:val="24"/>
          <w:szCs w:val="24"/>
        </w:rPr>
        <w:br w:type="textWrapping"/>
      </w:r>
    </w:p>
    <w:p w14:paraId="151AD415">
      <w:pPr>
        <w:numPr>
          <w:ilvl w:val="0"/>
          <w:numId w:val="0"/>
        </w:numPr>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《交通运输部 国家铁路局 中国民用航空局 国家邮政局 中国国家铁路集团有限公司关于印发＜加快建设交通强国五年行动计划（2023-2027年）＞的通知》</w:t>
      </w:r>
    </w:p>
    <w:p w14:paraId="63CD03D9">
      <w:pPr>
        <w:numPr>
          <w:ilvl w:val="0"/>
          <w:numId w:val="0"/>
        </w:numPr>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交规划发〔2023〕21号，发文日期为2023年3月29日</w:t>
      </w:r>
    </w:p>
    <w:p w14:paraId="243DD9F0">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　　·开展网络和数据安全能力提升行动。组织实施网络安全实网攻防演练，加强商用密码应用推广。</w:t>
      </w:r>
      <w:r>
        <w:rPr>
          <w:rFonts w:hint="eastAsia" w:ascii="宋体" w:hAnsi="宋体" w:eastAsia="宋体" w:cs="宋体"/>
          <w:b w:val="0"/>
          <w:bCs w:val="0"/>
          <w:sz w:val="24"/>
          <w:szCs w:val="24"/>
          <w:lang w:eastAsia="zh-CN"/>
        </w:rPr>
        <w:br w:type="textWrapping"/>
      </w:r>
      <w:r>
        <w:rPr>
          <w:rFonts w:hint="eastAsia" w:ascii="宋体" w:hAnsi="宋体" w:eastAsia="宋体" w:cs="宋体"/>
          <w:b w:val="0"/>
          <w:bCs w:val="0"/>
          <w:sz w:val="24"/>
          <w:szCs w:val="24"/>
          <w:lang w:eastAsia="zh-CN"/>
        </w:rPr>
        <w:br w:type="textWrapping"/>
      </w:r>
      <w:r>
        <w:rPr>
          <w:rFonts w:hint="eastAsia" w:ascii="宋体" w:hAnsi="宋体" w:eastAsia="宋体" w:cs="宋体"/>
          <w:b w:val="0"/>
          <w:bCs w:val="0"/>
          <w:sz w:val="24"/>
          <w:szCs w:val="24"/>
          <w:lang w:eastAsia="zh-CN"/>
        </w:rPr>
        <w:br w:type="textWrapping"/>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交通运输部办公厅关于印发</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道路运输电子证照运行服务规范（试行）</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的通知</w:t>
      </w:r>
      <w:r>
        <w:rPr>
          <w:rFonts w:hint="eastAsia" w:ascii="宋体" w:hAnsi="宋体" w:eastAsia="宋体" w:cs="宋体"/>
          <w:b w:val="0"/>
          <w:bCs w:val="0"/>
          <w:sz w:val="24"/>
          <w:szCs w:val="24"/>
          <w:lang w:eastAsia="zh-CN"/>
        </w:rPr>
        <w:t>》</w:t>
      </w:r>
    </w:p>
    <w:p w14:paraId="0E32A5AC">
      <w:pPr>
        <w:numPr>
          <w:ilvl w:val="0"/>
          <w:numId w:val="0"/>
        </w:numPr>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交办运函〔2022〕1606号</w:t>
      </w:r>
      <w:r>
        <w:rPr>
          <w:rFonts w:hint="eastAsia" w:ascii="宋体" w:hAnsi="宋体" w:eastAsia="宋体" w:cs="宋体"/>
          <w:b w:val="0"/>
          <w:bCs w:val="0"/>
          <w:sz w:val="24"/>
          <w:szCs w:val="24"/>
          <w:lang w:val="en-US" w:eastAsia="zh-CN"/>
        </w:rPr>
        <w:t>，成文日期为2022年11月21日</w:t>
      </w: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lang w:eastAsia="zh-CN"/>
        </w:rPr>
        <w:t>　　</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省级交通运输主管部门应加强电子证照的数据安全保护，严防非法授权访问、非法数据出库等行为，防止数据泄露，保障数据安全。加强国产密码应用和安全性评估。</w:t>
      </w:r>
    </w:p>
    <w:p w14:paraId="2B026A7D">
      <w:pPr>
        <w:numPr>
          <w:ilvl w:val="0"/>
          <w:numId w:val="0"/>
        </w:numPr>
        <w:jc w:val="left"/>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"https://xxgk.mot.gov.cn/2020/jigou/ysfws/202211/t20221121_3712703.html" </w:instrText>
      </w:r>
      <w:r>
        <w:rPr>
          <w:rFonts w:hint="eastAsia" w:ascii="宋体" w:hAnsi="宋体" w:eastAsia="宋体" w:cs="宋体"/>
          <w:b w:val="0"/>
          <w:bCs w:val="0"/>
          <w:sz w:val="24"/>
          <w:szCs w:val="24"/>
        </w:rPr>
        <w:fldChar w:fldCharType="separate"/>
      </w:r>
      <w:r>
        <w:rPr>
          <w:rStyle w:val="16"/>
          <w:rFonts w:hint="eastAsia" w:ascii="宋体" w:hAnsi="宋体" w:eastAsia="宋体" w:cs="宋体"/>
          <w:b w:val="0"/>
          <w:bCs w:val="0"/>
          <w:sz w:val="24"/>
          <w:szCs w:val="24"/>
        </w:rPr>
        <w:t>https://xxgk.mot.gov.cn/2020/jigou/ysfws/202211/t20221121_3712703.html</w:t>
      </w:r>
      <w:r>
        <w:rPr>
          <w:rFonts w:hint="eastAsia" w:ascii="宋体" w:hAnsi="宋体" w:eastAsia="宋体" w:cs="宋体"/>
          <w:b w:val="0"/>
          <w:bCs w:val="0"/>
          <w:sz w:val="24"/>
          <w:szCs w:val="24"/>
        </w:rPr>
        <w:fldChar w:fldCharType="end"/>
      </w:r>
    </w:p>
    <w:p w14:paraId="3C43F7A5">
      <w:pPr>
        <w:numPr>
          <w:ilvl w:val="0"/>
          <w:numId w:val="0"/>
        </w:numPr>
        <w:jc w:val="left"/>
        <w:rPr>
          <w:rFonts w:hint="eastAsia" w:ascii="宋体" w:hAnsi="宋体" w:eastAsia="宋体" w:cs="宋体"/>
          <w:b w:val="0"/>
          <w:bCs w:val="0"/>
          <w:sz w:val="24"/>
          <w:szCs w:val="24"/>
        </w:rPr>
      </w:pPr>
    </w:p>
    <w:p w14:paraId="54E8067D">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lang w:val="en-US" w:eastAsia="zh-CN"/>
        </w:rPr>
        <w:t>《工业和信息化部办公厅关于印发车联网网络安全和数据安全标准体系建设指南的通知》</w:t>
      </w:r>
    </w:p>
    <w:p w14:paraId="4429BF26">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工信厅科〔2022〕5号，成文日期为2022年2月25日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总体与基础共性标准是车联网网络安全和数据安全的总体性、通用性和指导性标准，包括术语和定义、总体架构、密码应用等3类标准。其中，密码应用标准主要规范车联网密码应用通用要求，明确数字证书格式、数字证书应用、设备密码应用等要求。</w:t>
      </w:r>
    </w:p>
    <w:p w14:paraId="6399624C">
      <w:pPr>
        <w:numPr>
          <w:ilvl w:val="0"/>
          <w:numId w:val="0"/>
        </w:numPr>
        <w:jc w:val="left"/>
        <w:rPr>
          <w:rFonts w:hint="eastAsia" w:ascii="宋体" w:hAnsi="宋体" w:eastAsia="宋体" w:cs="宋体"/>
          <w:b w:val="0"/>
          <w:bCs w:val="0"/>
          <w:sz w:val="24"/>
          <w:szCs w:val="24"/>
          <w:shd w:val="clear" w:color="FFFFFF" w:fill="D9D9D9"/>
          <w:lang w:val="en-US" w:eastAsia="zh-CN"/>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"https://www.miit.gov.cn/zwgk/zcwj/wjfb/tz/art/2022/art_e36a55c43a3346c9a4b31e534b92be44.html"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https://www.miit.gov.cn/zwgk/zcwj/wjfb/tz/art/2022/art_e36a55c43a3346c9a4b31e534b92be44.html</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shd w:val="clear" w:color="FFFFFF" w:fill="D9D9D9"/>
          <w:lang w:val="en-US" w:eastAsia="zh-CN"/>
        </w:rPr>
        <w:br w:type="textWrapping"/>
      </w:r>
    </w:p>
    <w:p w14:paraId="2AD5C3DE">
      <w:pPr>
        <w:numPr>
          <w:ilvl w:val="0"/>
          <w:numId w:val="0"/>
        </w:numPr>
        <w:jc w:val="left"/>
        <w:rPr>
          <w:rFonts w:hint="eastAsia" w:ascii="宋体" w:hAnsi="宋体" w:eastAsia="宋体" w:cs="宋体"/>
          <w:b w:val="0"/>
          <w:bCs w:val="0"/>
          <w:sz w:val="24"/>
          <w:szCs w:val="24"/>
          <w:shd w:val="clear" w:color="FFFFFF" w:fill="D9D9D9"/>
          <w:lang w:val="en-US" w:eastAsia="zh-CN"/>
        </w:rPr>
      </w:pPr>
    </w:p>
    <w:p w14:paraId="6E963D48">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《交通运输部 科学技术部关于印发〈交通领域科技创新中长期发展规划纲要（2021—2035年）〉的通知》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交科技发〔2022〕11号，成文日期为2022年1月24日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围绕全面提升智慧交通发展水平，集中攻克交通运输专业软件和专用系统，加快移动互联网、人工智能、区块链、云计算、大数据等新一代信息技术及空天信息技术与交通运输融合创新应用，推动交通运输领域商用密码创新应用，加快发展交通运输新型基础设施。</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"http://www.gov.cn/zhengce/zhengceku/2022-04/06/content_5683595.htm"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http://www.gov.cn/zhengce/zhengceku/2022-04/06/content_5683595.htm</w:t>
      </w:r>
      <w:r>
        <w:rPr>
          <w:rFonts w:hint="eastAsia" w:ascii="宋体" w:hAnsi="宋体" w:eastAsia="宋体" w:cs="宋体"/>
          <w:b w:val="0"/>
          <w:bCs w:val="0"/>
          <w:sz w:val="24"/>
          <w:szCs w:val="24"/>
          <w:lang w:val="en-US" w:eastAsia="zh-CN"/>
        </w:rPr>
        <w:fldChar w:fldCharType="end"/>
      </w:r>
    </w:p>
    <w:p w14:paraId="74E96934">
      <w:pPr>
        <w:numPr>
          <w:ilvl w:val="0"/>
          <w:numId w:val="0"/>
        </w:numPr>
        <w:jc w:val="both"/>
        <w:rPr>
          <w:rFonts w:hint="eastAsia" w:ascii="宋体" w:hAnsi="宋体" w:eastAsia="宋体" w:cs="宋体"/>
          <w:b w:val="0"/>
          <w:bCs w:val="0"/>
          <w:sz w:val="24"/>
          <w:szCs w:val="24"/>
          <w:lang w:val="en-US" w:eastAsia="zh-CN"/>
        </w:rPr>
      </w:pPr>
    </w:p>
    <w:p w14:paraId="0B26E648">
      <w:pPr>
        <w:numPr>
          <w:ilvl w:val="0"/>
          <w:numId w:val="0"/>
        </w:num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《工业和信息化部关于大众消费领域北斗推广应用的若干意见》</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工信部电子〔2022〕5号，成文日期为2022年1月17日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·加快推进高精度、低功耗、低成本、小型化的北斗芯片及关键元器件研发和产业化，形成北斗与5G、物联网、车联网等新一代信息技术融合的系统解决方案。鼓励应用商用密码，保障产品安全。</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"http://www.gov.cn/zhengce/zhengceku/2022-01/29/content_5671098.htm"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http://www.gov.cn/zhengce/zhengceku/2022-01/29/content_5671098.htm</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p>
    <w:p w14:paraId="162D6112">
      <w:pPr>
        <w:numPr>
          <w:ilvl w:val="0"/>
          <w:numId w:val="0"/>
        </w:num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kern w:val="2"/>
          <w:sz w:val="24"/>
          <w:szCs w:val="24"/>
          <w:lang w:val="en-US" w:eastAsia="zh-CN" w:bidi="ar-SA"/>
        </w:rPr>
        <w:t>国家邮政局、国家发展和改革委员会、交通运输部联合印发《“十四五”邮政业发展规划》</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发布日期为2021年12月28日</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　　·加强网络数据安全。严格落实网络安全工作责任制，完善行业网络安全、数据安全有关标准规范。在网络建设和运营过程中，同步规划、建设、使用有关安全保护措施，严格落实国家关于等保、关保、密评等有关要求。加强行业关键信息基础设施保护,组织编制相关规划，强化行业指导和监督。加强行业重要数据和个人信息保护。</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fldChar w:fldCharType="begin"/>
      </w:r>
      <w:r>
        <w:rPr>
          <w:rFonts w:hint="eastAsia" w:ascii="宋体" w:hAnsi="宋体" w:eastAsia="宋体" w:cs="宋体"/>
          <w:b w:val="0"/>
          <w:bCs w:val="0"/>
          <w:kern w:val="2"/>
          <w:sz w:val="24"/>
          <w:szCs w:val="24"/>
          <w:lang w:val="en-US" w:eastAsia="zh-CN" w:bidi="ar-SA"/>
        </w:rPr>
        <w:instrText xml:space="preserve"> HYPERLINK "https://www.spb.gov.cn/gjyzj/c100009/c100012/202201/f7f90da54b10432bb5cff518b4c7ebae.shtml" </w:instrText>
      </w:r>
      <w:r>
        <w:rPr>
          <w:rFonts w:hint="eastAsia" w:ascii="宋体" w:hAnsi="宋体" w:eastAsia="宋体" w:cs="宋体"/>
          <w:b w:val="0"/>
          <w:bCs w:val="0"/>
          <w:kern w:val="2"/>
          <w:sz w:val="24"/>
          <w:szCs w:val="24"/>
          <w:lang w:val="en-US" w:eastAsia="zh-CN" w:bidi="ar-SA"/>
        </w:rPr>
        <w:fldChar w:fldCharType="separate"/>
      </w:r>
      <w:r>
        <w:rPr>
          <w:rStyle w:val="15"/>
          <w:rFonts w:hint="eastAsia" w:ascii="宋体" w:hAnsi="宋体" w:eastAsia="宋体" w:cs="宋体"/>
          <w:b w:val="0"/>
          <w:bCs w:val="0"/>
          <w:kern w:val="2"/>
          <w:sz w:val="24"/>
          <w:szCs w:val="24"/>
          <w:lang w:val="en-US" w:eastAsia="zh-CN" w:bidi="ar-SA"/>
        </w:rPr>
        <w:t>https://www.spb.gov.cn/gjyzj/c100009/c100012/202201/f7f90da54b10432bb5cff518b4c7ebae.shtml</w:t>
      </w:r>
      <w:r>
        <w:rPr>
          <w:rFonts w:hint="eastAsia" w:ascii="宋体" w:hAnsi="宋体" w:eastAsia="宋体" w:cs="宋体"/>
          <w:b w:val="0"/>
          <w:bCs w:val="0"/>
          <w:kern w:val="2"/>
          <w:sz w:val="24"/>
          <w:szCs w:val="24"/>
          <w:lang w:val="en-US" w:eastAsia="zh-CN" w:bidi="ar-SA"/>
        </w:rPr>
        <w:fldChar w:fldCharType="end"/>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《交通运输部关于印发＜数字交通“十四五”发展规划＞的通知》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交规划发〔2021〕102号，成文日期为2021年12月22日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·健全国家综合交通运输信息平台基础支撑和网络安全防护体系，加强关键信息基础设施保护和商用密码技术应用。</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推动安全可信服务和产品应用。完善行业网络身份认证和设备安全接入认证体系，加强商用密码技术应用、接入检测、监督检查等。强化网络安全产品供应链管理。推进重要信息系统密码技术应用，完善行业密码服务基础设施。</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"https://xxgk.mot.gov.cn/2020/jigou/zhghs/202112/t20211222_3632469.html"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https://xxgk.mot.gov.cn/2020/jigou/zhghs/202112/t20211222_3632469.html</w:t>
      </w:r>
      <w:r>
        <w:rPr>
          <w:rFonts w:hint="eastAsia" w:ascii="宋体" w:hAnsi="宋体" w:eastAsia="宋体" w:cs="宋体"/>
          <w:b w:val="0"/>
          <w:bCs w:val="0"/>
          <w:sz w:val="24"/>
          <w:szCs w:val="24"/>
          <w:lang w:val="en-US" w:eastAsia="zh-CN"/>
        </w:rPr>
        <w:fldChar w:fldCharType="end"/>
      </w:r>
    </w:p>
    <w:p w14:paraId="2C62F627">
      <w:pPr>
        <w:numPr>
          <w:ilvl w:val="0"/>
          <w:numId w:val="0"/>
        </w:numPr>
        <w:jc w:val="left"/>
        <w:rPr>
          <w:rFonts w:hint="eastAsia" w:ascii="宋体" w:hAnsi="宋体" w:eastAsia="宋体" w:cs="宋体"/>
          <w:b w:val="0"/>
          <w:bCs w:val="0"/>
          <w:sz w:val="24"/>
          <w:szCs w:val="24"/>
          <w:lang w:val="en-US" w:eastAsia="zh-CN"/>
        </w:rPr>
      </w:pPr>
    </w:p>
    <w:p w14:paraId="5F8DB162">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《工业和信息化部关于加强车联网网络安全和数据安全工作的通知》</w:t>
      </w:r>
    </w:p>
    <w:p w14:paraId="048A250C">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工信部网安〔2021〕134号，成文日期为2021年9月15日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·认定为关键信息基础设施的，要落实《关键信息基础设施安全保护条例》有关规定，并按照国家有关标准使用商用密码进行保护，自行或者委托商用密码检测机构开展商用密码应用安全性评估。</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"http://www.gov.cn/zhengce/zhengceku/2021-09/16/content_5637709.htm"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http://www.gov.cn/zhengce/zhengceku/2021-09/16/content_5637709.htm</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《交通运输部关于印发＜交通运输领域新型基础设施建设行动方案（2021—2025年）＞的通知》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交规划发〔2021〕82号，成文日期为2021年8月31日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加强网络安全保护。严格落实等级保护制度，加强关键信息基础设施保护，强化态势感知能力建设，保障数据共享安全可控。建立健全数据安全保护制度，加强基础设施数据全生命周期管理和分级分类保护，落实数据容灾备份措施。推进商用密码技术应用。</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"http://www.gov.cn/zhengce/zhengceku/2021-09/29/content_5639987.htm"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http://www.gov.cn/zhengce/zhengceku/2021-09/29/content_5639987.htm</w:t>
      </w:r>
      <w:r>
        <w:rPr>
          <w:rFonts w:hint="eastAsia" w:ascii="宋体" w:hAnsi="宋体" w:eastAsia="宋体" w:cs="宋体"/>
          <w:b w:val="0"/>
          <w:bCs w:val="0"/>
          <w:sz w:val="24"/>
          <w:szCs w:val="24"/>
          <w:lang w:val="en-US" w:eastAsia="zh-CN"/>
        </w:rPr>
        <w:fldChar w:fldCharType="end"/>
      </w:r>
    </w:p>
    <w:p w14:paraId="6C018F11">
      <w:pPr>
        <w:numPr>
          <w:ilvl w:val="0"/>
          <w:numId w:val="0"/>
        </w:numPr>
        <w:jc w:val="left"/>
        <w:rPr>
          <w:rFonts w:hint="eastAsia" w:ascii="宋体" w:hAnsi="宋体" w:eastAsia="宋体" w:cs="宋体"/>
          <w:b w:val="0"/>
          <w:bCs w:val="0"/>
          <w:sz w:val="24"/>
          <w:szCs w:val="24"/>
          <w:lang w:val="en-US" w:eastAsia="zh-CN"/>
        </w:rPr>
      </w:pPr>
    </w:p>
    <w:p w14:paraId="40DC30D2">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《工业和信息化部办公厅关于开展车联网身份认证和安全信任试点工作的通知》</w:t>
      </w:r>
    </w:p>
    <w:p w14:paraId="6C915A24">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工信厅网安函〔2021〕148号，成文日期为2021年6月8日</w:t>
      </w:r>
    </w:p>
    <w:p w14:paraId="623D8603">
      <w:pPr>
        <w:numPr>
          <w:ilvl w:val="0"/>
          <w:numId w:val="0"/>
        </w:numPr>
        <w:ind w:firstLine="48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为贯彻落实《新能源汽车产业发展规划（2021-2035年）》《智能汽车创新发展战略》和车联网产业发展专委会第四次全体会议工作任务要求，加快推进车联网网络安全保障能力建设，构建车联网身份认证和安全信任体系，推动商用密码应用，保障蜂窝车联网（C-V2X）通信安全，现开展车联网身份认证和安全信任试点工作。</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"https://www.gov.cn/zhengce/zhengceku/2021-06/10/content_5616843.htm"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https://www.gov.cn/zhengce/zhengceku/2021-06/10/content_5616843.htm</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《交通运输部办公厅关于印发＜城市轨道交通自动售检票系统运营技术规范（试行）＞的通知》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交办运〔2022〕27号，成文日期为2021年5月27日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自动售检票系统的应用软件具有应用软件操作权限管理功能，操作员账户和密码采用加密形式存储，并满足日常定期修改密码要求，支持对轨道交通专用票、二维码车票密钥的统一管理，主要包括密钥制作、密钥下发、数据验签和第三方密钥管理。轨道交通专用票、二维码车票、一卡通卡等密钥的使用和管理符合国家网络安全及商用密码管理的相关法律法规和标准要求。</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·自动售检票系统的数据安全管理应具有灾难备份及数据恢复功能，所有敏感数据在存储和传输时采用高安全加密方式。</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·互联网票务的密钥使用和管理应符合国家网络安全及商用密码管理的相关法律法规，并保证支付安全。</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"https://xxgk.mot.gov.cn/2020/jigou/ysfws/202206/t20220609_3658774.html"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https://xxgk.mot.gov.cn/2020/jigou/ysfws/202206/t20220609_3658774.html</w:t>
      </w:r>
      <w:r>
        <w:rPr>
          <w:rFonts w:hint="eastAsia" w:ascii="宋体" w:hAnsi="宋体" w:eastAsia="宋体" w:cs="宋体"/>
          <w:b w:val="0"/>
          <w:bCs w:val="0"/>
          <w:sz w:val="24"/>
          <w:szCs w:val="24"/>
          <w:lang w:val="en-US" w:eastAsia="zh-CN"/>
        </w:rPr>
        <w:fldChar w:fldCharType="end"/>
      </w:r>
    </w:p>
    <w:p w14:paraId="68424EE4">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《交通运输部办公厅关于加快推广应用道路运输电子证照提升数字化服务与监管能力的通知》</w:t>
      </w:r>
    </w:p>
    <w:p w14:paraId="6F21EC5A">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交办运〔2021〕25号，成文日期为2021年3月16日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统一开发电子证照系统。根据相关标准规范要求，采用国产密码算法技术，建设开发部级电子证照系统，同时推进与部级运政系统、网上便民运政系统、部移动客户端和微信公众号、国家政务服务平台等相关信息系统的对接工作。统一开发省级电子证照系统基础软件。</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"http://www.gov.cn/zhengce/zhengceku/2021-04/02/content_5597486.htm"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http://www.gov.cn/zhengce/zhengceku/2021-04/02/content_5597486.htm</w:t>
      </w:r>
      <w:r>
        <w:rPr>
          <w:rFonts w:hint="eastAsia" w:ascii="宋体" w:hAnsi="宋体" w:eastAsia="宋体" w:cs="宋体"/>
          <w:b w:val="0"/>
          <w:bCs w:val="0"/>
          <w:sz w:val="24"/>
          <w:szCs w:val="24"/>
          <w:lang w:val="en-US" w:eastAsia="zh-CN"/>
        </w:rPr>
        <w:fldChar w:fldCharType="end"/>
      </w:r>
    </w:p>
    <w:p w14:paraId="1407F835">
      <w:pPr>
        <w:numPr>
          <w:ilvl w:val="0"/>
          <w:numId w:val="0"/>
        </w:numPr>
        <w:jc w:val="left"/>
        <w:rPr>
          <w:rFonts w:hint="eastAsia" w:ascii="宋体" w:hAnsi="宋体" w:eastAsia="宋体" w:cs="宋体"/>
          <w:b w:val="0"/>
          <w:bCs w:val="0"/>
          <w:sz w:val="24"/>
          <w:szCs w:val="24"/>
          <w:lang w:val="en-US" w:eastAsia="zh-CN"/>
        </w:rPr>
      </w:pPr>
    </w:p>
    <w:p w14:paraId="29DAAEAD">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《交通运输部关于推动交通运输领域新型基础设施建设的指导意见》</w:t>
      </w:r>
    </w:p>
    <w:p w14:paraId="7566226D">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交规划发〔2020〕75号，成文日期为2020年8月3日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加强关键信息基础设施保护。建设集态势感知、风险预警、应急处置和联动指挥为一体的网络安全支撑平台，加强信息共享、协同联动，形成多层级的纵深防御、主动防护、综合防范体系，加强威胁风险预警研判，建立风险评估体系。切实推进商用密码等技术应用，积极推广可信计算，提高系统主动免疫能力。</w:t>
      </w:r>
    </w:p>
    <w:p w14:paraId="18A5FBE9">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"http://www.gov.cn/zhengce/zhengceku/2020-08/06/content_5532842.htm"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http://www.gov.cn/zhengce/zhengceku/2020-08/06/content_5532842.htm</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p>
    <w:p w14:paraId="7BE80A59">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《交通运输部办公厅关于充分发挥全国道路货运车辆公共监管与服务平台作用支撑行业高质量发展的意见》</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交办运〔2020〕18号，成文日期为2020年4月26日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加强网络安全管理。货运平台建设运维单位要根据《中华人民共和国网络安全法》《中华人民共和国计算机信息系统安全保护条例》等有关法律规定，做好网络运行安全和网络信息安全工作，完善安全等保三级系统的网络安全保护体系，建立健全网络安全防范、监测、通报、响应和处置机制。同时，运用自主可控密码技术，实现数据及传输安全管理。各级交通运输主管部门应严格管理数据应用，有效保证信息安全。</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"https://xxgk.mot.gov.cn/2020/jigou/ysfws/202006/t20200623_3316089.html"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https://xxgk.mot.gov.cn/2020/jigou/ysfws/202006/t20200623_3316089.html</w:t>
      </w:r>
      <w:r>
        <w:rPr>
          <w:rFonts w:hint="eastAsia" w:ascii="宋体" w:hAnsi="宋体" w:eastAsia="宋体" w:cs="宋体"/>
          <w:b w:val="0"/>
          <w:bCs w:val="0"/>
          <w:sz w:val="24"/>
          <w:szCs w:val="24"/>
          <w:lang w:val="en-US" w:eastAsia="zh-CN"/>
        </w:rPr>
        <w:fldChar w:fldCharType="end"/>
      </w:r>
    </w:p>
    <w:p w14:paraId="69967A54">
      <w:pPr>
        <w:numPr>
          <w:ilvl w:val="0"/>
          <w:numId w:val="0"/>
        </w:numPr>
        <w:jc w:val="left"/>
        <w:rPr>
          <w:rFonts w:hint="eastAsia" w:ascii="宋体" w:hAnsi="宋体" w:eastAsia="宋体" w:cs="宋体"/>
          <w:b w:val="0"/>
          <w:bCs w:val="0"/>
          <w:sz w:val="24"/>
          <w:szCs w:val="24"/>
          <w:lang w:val="en-US" w:eastAsia="zh-CN"/>
        </w:rPr>
      </w:pPr>
    </w:p>
    <w:p w14:paraId="3F8038CC">
      <w:pPr>
        <w:numPr>
          <w:ilvl w:val="0"/>
          <w:numId w:val="0"/>
        </w:numPr>
        <w:jc w:val="left"/>
        <w:rPr>
          <w:rFonts w:hint="eastAsia" w:ascii="宋体" w:hAnsi="宋体" w:eastAsia="宋体" w:cs="宋体"/>
          <w:b w:val="0"/>
          <w:bCs w:val="0"/>
          <w:sz w:val="24"/>
          <w:szCs w:val="24"/>
          <w:lang w:val="en-US" w:eastAsia="zh-CN"/>
        </w:rPr>
      </w:pPr>
    </w:p>
    <w:p w14:paraId="5801C03A">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《交通运输部关于印发＜推进综合交通运输大数据发展行动纲要（2020—2025年）＞的通知》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交科技发〔2019〕161号</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成文日期为2019年12月9日</w:t>
      </w:r>
    </w:p>
    <w:p w14:paraId="74FCF724">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·完善数据安全保障措施。推进交通运输领域数据分类分级管理，加强重要数据和个人信息安全保护，制定数据分级安全管理、数据脱敏等制度规范。推进重要信息系统密码技术应用和重要软硬件设备自主可控。</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"https://www.mot.gov.cn/zhengcejiedu/ytddxsqtdzhjtysdsjfz/xiangguanzhengce/201912/t20191213_3430331.html"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https://www.mot.gov.cn/zhengcejiedu/ytddxsqtdzhjtysdsjfz/xiangguanzhengce/201912/t20191213_3430331.html</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p>
    <w:p w14:paraId="0FEF308F">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br w:type="textWrapping"/>
      </w:r>
      <w:bookmarkStart w:id="4" w:name="_Toc803"/>
      <w:r>
        <w:rPr>
          <w:rStyle w:val="18"/>
          <w:rFonts w:hint="eastAsia" w:ascii="宋体" w:hAnsi="宋体" w:eastAsia="宋体" w:cs="宋体"/>
          <w:sz w:val="24"/>
          <w:szCs w:val="24"/>
          <w:lang w:val="en-US" w:eastAsia="zh-CN"/>
        </w:rPr>
        <w:t>（三）能源基础设施网络密码应用</w:t>
      </w:r>
      <w:bookmarkEnd w:id="4"/>
    </w:p>
    <w:p w14:paraId="5DBC6B39">
      <w:pPr>
        <w:numPr>
          <w:ilvl w:val="0"/>
          <w:numId w:val="0"/>
        </w:numPr>
        <w:jc w:val="left"/>
        <w:rPr>
          <w:rFonts w:hint="eastAsia" w:ascii="宋体" w:hAnsi="宋体" w:eastAsia="宋体" w:cs="宋体"/>
          <w:b w:val="0"/>
          <w:bCs w:val="0"/>
          <w:sz w:val="24"/>
          <w:szCs w:val="24"/>
        </w:rPr>
      </w:pP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rPr>
        <w:t xml:space="preserve"> </w:t>
      </w:r>
    </w:p>
    <w:p w14:paraId="380BA147">
      <w:pPr>
        <w:numPr>
          <w:ilvl w:val="0"/>
          <w:numId w:val="0"/>
        </w:numPr>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《电力监控系统安全防护规定》</w:t>
      </w:r>
    </w:p>
    <w:p w14:paraId="76A23A97">
      <w:pPr>
        <w:numPr>
          <w:ilvl w:val="0"/>
          <w:numId w:val="0"/>
        </w:numPr>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中华人民共和国国家发展和改革委员会令第27号，自2025年1月1日起施行</w:t>
      </w:r>
    </w:p>
    <w:p w14:paraId="04CA45A9">
      <w:pPr>
        <w:numPr>
          <w:ilvl w:val="0"/>
          <w:numId w:val="0"/>
        </w:numPr>
        <w:jc w:val="left"/>
        <w:rPr>
          <w:rFonts w:hint="eastAsia" w:ascii="宋体" w:hAnsi="宋体" w:eastAsia="宋体" w:cs="宋体"/>
          <w:b w:val="0"/>
          <w:bCs w:val="0"/>
          <w:sz w:val="24"/>
          <w:szCs w:val="24"/>
        </w:rPr>
      </w:pPr>
      <w:r>
        <w:rPr>
          <w:rFonts w:hint="eastAsia" w:ascii="宋体" w:hAnsi="宋体" w:eastAsia="宋体" w:cs="宋体"/>
          <w:b/>
          <w:bCs/>
          <w:sz w:val="24"/>
          <w:szCs w:val="24"/>
          <w:lang w:eastAsia="zh-CN"/>
        </w:rPr>
        <w:t>　　</w:t>
      </w:r>
      <w:r>
        <w:rPr>
          <w:rFonts w:hint="eastAsia" w:ascii="宋体" w:hAnsi="宋体" w:eastAsia="宋体" w:cs="宋体"/>
          <w:b/>
          <w:bCs/>
          <w:sz w:val="24"/>
          <w:szCs w:val="24"/>
        </w:rPr>
        <w:t>第十一条</w:t>
      </w:r>
      <w:r>
        <w:rPr>
          <w:rFonts w:hint="eastAsia" w:ascii="宋体" w:hAnsi="宋体" w:eastAsia="宋体" w:cs="宋体"/>
          <w:b w:val="0"/>
          <w:bCs w:val="0"/>
          <w:sz w:val="24"/>
          <w:szCs w:val="24"/>
        </w:rPr>
        <w:t xml:space="preserve"> 生产控制区与电力监控专用网络的广域网之间的联接处应当设置电力专用纵向加密认证装置或者加密认证网关。</w:t>
      </w:r>
    </w:p>
    <w:p w14:paraId="573FAE2C">
      <w:pPr>
        <w:numPr>
          <w:ilvl w:val="0"/>
          <w:numId w:val="0"/>
        </w:numPr>
        <w:jc w:val="left"/>
        <w:rPr>
          <w:rFonts w:hint="eastAsia" w:ascii="宋体" w:hAnsi="宋体" w:eastAsia="宋体" w:cs="宋体"/>
          <w:b w:val="0"/>
          <w:bCs w:val="0"/>
          <w:sz w:val="24"/>
          <w:szCs w:val="24"/>
        </w:rPr>
      </w:pPr>
      <w:r>
        <w:rPr>
          <w:rFonts w:hint="eastAsia" w:ascii="宋体" w:hAnsi="宋体" w:eastAsia="宋体" w:cs="宋体"/>
          <w:b/>
          <w:bCs/>
          <w:sz w:val="24"/>
          <w:szCs w:val="24"/>
          <w:lang w:eastAsia="zh-CN"/>
        </w:rPr>
        <w:t>　　</w:t>
      </w:r>
      <w:r>
        <w:rPr>
          <w:rFonts w:hint="eastAsia" w:ascii="宋体" w:hAnsi="宋体" w:eastAsia="宋体" w:cs="宋体"/>
          <w:b/>
          <w:bCs/>
          <w:sz w:val="24"/>
          <w:szCs w:val="24"/>
        </w:rPr>
        <w:t>第十二条</w:t>
      </w:r>
      <w:r>
        <w:rPr>
          <w:rFonts w:hint="eastAsia" w:ascii="宋体" w:hAnsi="宋体" w:eastAsia="宋体" w:cs="宋体"/>
          <w:b w:val="0"/>
          <w:bCs w:val="0"/>
          <w:sz w:val="24"/>
          <w:szCs w:val="24"/>
        </w:rPr>
        <w:t xml:space="preserve"> 电力调度机构应当依照电力调度管理体制建立基于数字证书等技术的分布式电力调度认证机制。生产控制区处理重要业务过程中应当采用应用层端到端加密认证机制，其中与电力调度机构交互业务数据应当纳入电力调度认证机制，保障数据传输的完整性和真实性。</w:t>
      </w:r>
    </w:p>
    <w:p w14:paraId="128E5499">
      <w:pPr>
        <w:numPr>
          <w:ilvl w:val="0"/>
          <w:numId w:val="0"/>
        </w:numPr>
        <w:jc w:val="left"/>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"https://www.ndrc.gov.cn/xxgk/zcfb/fzggwl/202412/t20241211_1394960_ext.html" </w:instrText>
      </w:r>
      <w:r>
        <w:rPr>
          <w:rFonts w:hint="eastAsia" w:ascii="宋体" w:hAnsi="宋体" w:eastAsia="宋体" w:cs="宋体"/>
          <w:b w:val="0"/>
          <w:bCs w:val="0"/>
          <w:sz w:val="24"/>
          <w:szCs w:val="24"/>
        </w:rPr>
        <w:fldChar w:fldCharType="separate"/>
      </w:r>
      <w:r>
        <w:rPr>
          <w:rStyle w:val="16"/>
          <w:rFonts w:hint="eastAsia" w:ascii="宋体" w:hAnsi="宋体" w:eastAsia="宋体" w:cs="宋体"/>
          <w:b w:val="0"/>
          <w:bCs w:val="0"/>
          <w:sz w:val="24"/>
          <w:szCs w:val="24"/>
        </w:rPr>
        <w:t>https://www.ndrc.gov.cn/xxgk/zcfb/fzggwl/202412/t20241211_1394960_ext.html</w:t>
      </w:r>
      <w:r>
        <w:rPr>
          <w:rFonts w:hint="eastAsia" w:ascii="宋体" w:hAnsi="宋体" w:eastAsia="宋体" w:cs="宋体"/>
          <w:b w:val="0"/>
          <w:bCs w:val="0"/>
          <w:sz w:val="24"/>
          <w:szCs w:val="24"/>
        </w:rPr>
        <w:fldChar w:fldCharType="end"/>
      </w:r>
    </w:p>
    <w:p w14:paraId="125C0E77">
      <w:pPr>
        <w:numPr>
          <w:ilvl w:val="0"/>
          <w:numId w:val="0"/>
        </w:numPr>
        <w:jc w:val="left"/>
        <w:rPr>
          <w:rFonts w:hint="eastAsia" w:ascii="宋体" w:hAnsi="宋体" w:eastAsia="宋体" w:cs="宋体"/>
          <w:b w:val="0"/>
          <w:bCs w:val="0"/>
          <w:sz w:val="24"/>
          <w:szCs w:val="24"/>
        </w:rPr>
      </w:pP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国家能源局关于加快推进能源数字化智能化发展的若干意见</w:t>
      </w:r>
      <w:r>
        <w:rPr>
          <w:rFonts w:hint="eastAsia" w:ascii="宋体" w:hAnsi="宋体" w:eastAsia="宋体" w:cs="宋体"/>
          <w:b w:val="0"/>
          <w:bCs w:val="0"/>
          <w:sz w:val="24"/>
          <w:szCs w:val="24"/>
          <w:lang w:eastAsia="zh-CN"/>
        </w:rPr>
        <w:t>》</w:t>
      </w:r>
    </w:p>
    <w:p w14:paraId="11D83410">
      <w:pPr>
        <w:numPr>
          <w:ilvl w:val="0"/>
          <w:numId w:val="0"/>
        </w:numPr>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国能发科技〔2023〕27号</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制发日期为</w:t>
      </w:r>
      <w:r>
        <w:rPr>
          <w:rFonts w:hint="eastAsia" w:ascii="宋体" w:hAnsi="宋体" w:eastAsia="宋体" w:cs="宋体"/>
          <w:b w:val="0"/>
          <w:bCs w:val="0"/>
          <w:sz w:val="24"/>
          <w:szCs w:val="24"/>
          <w:lang w:eastAsia="zh-CN"/>
        </w:rPr>
        <w:t>2023</w:t>
      </w:r>
      <w:r>
        <w:rPr>
          <w:rFonts w:hint="eastAsia" w:ascii="宋体" w:hAnsi="宋体" w:eastAsia="宋体" w:cs="宋体"/>
          <w:b w:val="0"/>
          <w:bCs w:val="0"/>
          <w:sz w:val="24"/>
          <w:szCs w:val="24"/>
          <w:lang w:val="en-US" w:eastAsia="zh-CN"/>
        </w:rPr>
        <w:t>年</w:t>
      </w:r>
      <w:r>
        <w:rPr>
          <w:rFonts w:hint="eastAsia" w:ascii="宋体" w:hAnsi="宋体" w:eastAsia="宋体" w:cs="宋体"/>
          <w:b w:val="0"/>
          <w:bCs w:val="0"/>
          <w:sz w:val="24"/>
          <w:szCs w:val="24"/>
          <w:lang w:eastAsia="zh-CN"/>
        </w:rPr>
        <w:t>3</w:t>
      </w:r>
      <w:r>
        <w:rPr>
          <w:rFonts w:hint="eastAsia" w:ascii="宋体" w:hAnsi="宋体" w:eastAsia="宋体" w:cs="宋体"/>
          <w:b w:val="0"/>
          <w:bCs w:val="0"/>
          <w:sz w:val="24"/>
          <w:szCs w:val="24"/>
          <w:lang w:val="en-US" w:eastAsia="zh-CN"/>
        </w:rPr>
        <w:t>月</w:t>
      </w:r>
      <w:r>
        <w:rPr>
          <w:rFonts w:hint="eastAsia" w:ascii="宋体" w:hAnsi="宋体" w:eastAsia="宋体" w:cs="宋体"/>
          <w:b w:val="0"/>
          <w:bCs w:val="0"/>
          <w:sz w:val="24"/>
          <w:szCs w:val="24"/>
          <w:lang w:eastAsia="zh-CN"/>
        </w:rPr>
        <w:t>28</w:t>
      </w:r>
      <w:r>
        <w:rPr>
          <w:rFonts w:hint="eastAsia" w:ascii="宋体" w:hAnsi="宋体" w:eastAsia="宋体" w:cs="宋体"/>
          <w:b w:val="0"/>
          <w:bCs w:val="0"/>
          <w:sz w:val="24"/>
          <w:szCs w:val="24"/>
          <w:lang w:val="en-US" w:eastAsia="zh-CN"/>
        </w:rPr>
        <w:t>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十六）推动能源数据分类分级管理与共享应用。推动能源行业数据分类分级保护制度建设，加强数据安全治理。对于安全敏感性高的数据，提高数据汇聚融合的风险识别与防护水平，强化数据脱敏、加密保护和安全合规评估；对于安全敏感性低的数据，健全确权、流通、交易和分配机制，有序推动数据在产业链上下游的共享，推进数据共享全过程的在线流转和在线跟踪，支持数据便捷共享应用。加强行业大数据中心数据安全监管，强化数据安全风险态势监测，规范数据使用。充分结合全国一体化大数据中心体系建设，推动算力资源规模化集约化布局、协同联动，提高算力使用效率。</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"https://zfxxgk.nea.gov.cn/2023-03/28/c_1310707122.htm"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https://zfxxgk.nea.gov.cn/2023-03/28/c_1310707122.htm</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rPr>
        <w:br w:type="textWrapping"/>
      </w:r>
    </w:p>
    <w:p w14:paraId="004E3BD7">
      <w:pPr>
        <w:numPr>
          <w:ilvl w:val="0"/>
          <w:numId w:val="0"/>
        </w:numPr>
        <w:jc w:val="left"/>
        <w:rPr>
          <w:rFonts w:hint="eastAsia" w:ascii="宋体" w:hAnsi="宋体" w:eastAsia="宋体" w:cs="宋体"/>
          <w:b w:val="0"/>
          <w:bCs w:val="0"/>
          <w:sz w:val="24"/>
          <w:szCs w:val="24"/>
        </w:rPr>
      </w:pPr>
    </w:p>
    <w:p w14:paraId="3897E50E">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《国家能源局综合司关于印发</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lang w:eastAsia="zh-CN"/>
        </w:rPr>
        <w:t>2023年电力安全监管重点任务</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lang w:eastAsia="zh-CN"/>
        </w:rPr>
        <w:t>的通知》</w:t>
      </w:r>
      <w:r>
        <w:rPr>
          <w:rFonts w:hint="eastAsia" w:ascii="宋体" w:hAnsi="宋体" w:eastAsia="宋体" w:cs="宋体"/>
          <w:b w:val="0"/>
          <w:bCs w:val="0"/>
          <w:sz w:val="24"/>
          <w:szCs w:val="24"/>
          <w:lang w:eastAsia="zh-CN"/>
        </w:rPr>
        <w:br w:type="textWrapping"/>
      </w:r>
      <w:r>
        <w:rPr>
          <w:rFonts w:hint="eastAsia" w:ascii="宋体" w:hAnsi="宋体" w:eastAsia="宋体" w:cs="宋体"/>
          <w:b w:val="0"/>
          <w:bCs w:val="0"/>
          <w:sz w:val="24"/>
          <w:szCs w:val="24"/>
          <w:lang w:eastAsia="zh-CN"/>
        </w:rPr>
        <w:t>国能综通安全〔2023〕4号，</w:t>
      </w:r>
      <w:r>
        <w:rPr>
          <w:rFonts w:hint="eastAsia" w:ascii="宋体" w:hAnsi="宋体" w:eastAsia="宋体" w:cs="宋体"/>
          <w:b w:val="0"/>
          <w:bCs w:val="0"/>
          <w:sz w:val="24"/>
          <w:szCs w:val="24"/>
          <w:lang w:val="en-US" w:eastAsia="zh-CN"/>
        </w:rPr>
        <w:t>成文日期为2023年1月17日</w:t>
      </w:r>
    </w:p>
    <w:p w14:paraId="0C81D57E">
      <w:pPr>
        <w:numPr>
          <w:ilvl w:val="0"/>
          <w:numId w:val="0"/>
        </w:numPr>
        <w:jc w:val="left"/>
        <w:rPr>
          <w:rFonts w:ascii="宋体" w:hAnsi="宋体" w:eastAsia="宋体" w:cs="宋体"/>
          <w:sz w:val="24"/>
          <w:szCs w:val="24"/>
        </w:rPr>
      </w:pPr>
      <w:r>
        <w:rPr>
          <w:rFonts w:hint="eastAsia" w:ascii="宋体" w:hAnsi="宋体" w:eastAsia="宋体" w:cs="宋体"/>
          <w:b w:val="0"/>
          <w:bCs w:val="0"/>
          <w:sz w:val="24"/>
          <w:szCs w:val="24"/>
          <w:lang w:val="en-US" w:eastAsia="zh-CN"/>
        </w:rPr>
        <w:t>　　·</w:t>
      </w:r>
      <w:r>
        <w:rPr>
          <w:rFonts w:ascii="宋体" w:hAnsi="宋体" w:eastAsia="宋体" w:cs="宋体"/>
          <w:sz w:val="24"/>
          <w:szCs w:val="24"/>
        </w:rPr>
        <w:t>推进电力行业网络与信息安全工作。组织开展网络安全五年行动计划中期评估，持续推进电力行业网络安全“明目”“赋能”“强基”行动。加强网络安全态势感知能力建设，推进国家级电力网络安全靶场建设，组织开展年度攻防演练。修订行业网络安全事件应急预案，建立完善网络安全监督管理技术支撑体系， 推动量子计算、北斗、商用密码等在电力行业的应用。</w:t>
      </w:r>
    </w:p>
    <w:p w14:paraId="47BDC802">
      <w:pPr>
        <w:numPr>
          <w:ilvl w:val="0"/>
          <w:numId w:val="0"/>
        </w:numPr>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fldChar w:fldCharType="begin"/>
      </w:r>
      <w:r>
        <w:rPr>
          <w:rFonts w:hint="default" w:ascii="宋体" w:hAnsi="宋体" w:eastAsia="宋体" w:cs="宋体"/>
          <w:sz w:val="24"/>
          <w:szCs w:val="24"/>
          <w:lang w:val="en-US" w:eastAsia="zh-CN"/>
        </w:rPr>
        <w:instrText xml:space="preserve"> HYPERLINK "http://zfxxgk.nea.gov.cn/2023-01/17/c_1310693609.htm" </w:instrText>
      </w:r>
      <w:r>
        <w:rPr>
          <w:rFonts w:hint="default" w:ascii="宋体" w:hAnsi="宋体" w:eastAsia="宋体" w:cs="宋体"/>
          <w:sz w:val="24"/>
          <w:szCs w:val="24"/>
          <w:lang w:val="en-US" w:eastAsia="zh-CN"/>
        </w:rPr>
        <w:fldChar w:fldCharType="separate"/>
      </w:r>
      <w:r>
        <w:rPr>
          <w:rStyle w:val="16"/>
          <w:rFonts w:hint="default" w:ascii="宋体" w:hAnsi="宋体" w:eastAsia="宋体" w:cs="宋体"/>
          <w:sz w:val="24"/>
          <w:szCs w:val="24"/>
          <w:lang w:val="en-US" w:eastAsia="zh-CN"/>
        </w:rPr>
        <w:t>http://zfxxgk.nea.gov.cn/2023-01/17/c_1310693609.htm</w:t>
      </w:r>
      <w:r>
        <w:rPr>
          <w:rFonts w:hint="default" w:ascii="宋体" w:hAnsi="宋体" w:eastAsia="宋体" w:cs="宋体"/>
          <w:sz w:val="24"/>
          <w:szCs w:val="24"/>
          <w:lang w:val="en-US" w:eastAsia="zh-CN"/>
        </w:rPr>
        <w:fldChar w:fldCharType="end"/>
      </w:r>
    </w:p>
    <w:p w14:paraId="0AB380AB">
      <w:pPr>
        <w:numPr>
          <w:ilvl w:val="0"/>
          <w:numId w:val="0"/>
        </w:numPr>
        <w:jc w:val="left"/>
        <w:rPr>
          <w:rFonts w:hint="default" w:ascii="宋体" w:hAnsi="宋体" w:eastAsia="宋体" w:cs="宋体"/>
          <w:sz w:val="24"/>
          <w:szCs w:val="24"/>
          <w:lang w:val="en-US" w:eastAsia="zh-CN"/>
        </w:rPr>
      </w:pPr>
    </w:p>
    <w:p w14:paraId="518F0A3A">
      <w:pPr>
        <w:numPr>
          <w:ilvl w:val="0"/>
          <w:numId w:val="0"/>
        </w:numPr>
        <w:jc w:val="left"/>
        <w:rPr>
          <w:rFonts w:hint="eastAsia" w:ascii="宋体" w:hAnsi="宋体" w:eastAsia="宋体" w:cs="宋体"/>
          <w:b w:val="0"/>
          <w:bCs w:val="0"/>
          <w:sz w:val="24"/>
          <w:szCs w:val="24"/>
        </w:rPr>
      </w:pPr>
    </w:p>
    <w:p w14:paraId="2FE7FE72">
      <w:pPr>
        <w:numPr>
          <w:ilvl w:val="0"/>
          <w:numId w:val="0"/>
        </w:numPr>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能源局关于印发</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电力行业网络安全等级保护管理办法</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的通知</w:t>
      </w:r>
      <w:r>
        <w:rPr>
          <w:rFonts w:hint="eastAsia" w:ascii="宋体" w:hAnsi="宋体" w:eastAsia="宋体" w:cs="宋体"/>
          <w:b w:val="0"/>
          <w:bCs w:val="0"/>
          <w:sz w:val="24"/>
          <w:szCs w:val="24"/>
          <w:lang w:eastAsia="zh-CN"/>
        </w:rPr>
        <w:t>》</w:t>
      </w:r>
    </w:p>
    <w:p w14:paraId="08C006C7">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80" w:right="0" w:hanging="480" w:hangingChars="200"/>
        <w:jc w:val="both"/>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b w:val="0"/>
          <w:bCs w:val="0"/>
          <w:sz w:val="24"/>
          <w:szCs w:val="24"/>
        </w:rPr>
        <w:t>国能发安全规〔222〕101号</w:t>
      </w:r>
      <w:r>
        <w:rPr>
          <w:rFonts w:hint="eastAsia" w:ascii="宋体" w:hAnsi="宋体" w:eastAsia="宋体" w:cs="宋体"/>
          <w:b w:val="0"/>
          <w:bCs w:val="0"/>
          <w:sz w:val="24"/>
          <w:szCs w:val="24"/>
          <w:lang w:eastAsia="zh-CN"/>
        </w:rPr>
        <w:t>，</w:t>
      </w:r>
      <w:r>
        <w:rPr>
          <w:rFonts w:hint="eastAsia" w:ascii="宋体" w:hAnsi="宋体" w:eastAsia="宋体" w:cs="宋体"/>
          <w:i w:val="0"/>
          <w:iCs w:val="0"/>
          <w:caps w:val="0"/>
          <w:color w:val="333333"/>
          <w:spacing w:val="0"/>
          <w:sz w:val="24"/>
          <w:szCs w:val="24"/>
          <w:shd w:val="clear" w:fill="FFFFFF"/>
        </w:rPr>
        <w:t>2022年11月16日</w:t>
      </w:r>
      <w:r>
        <w:rPr>
          <w:rFonts w:hint="eastAsia" w:ascii="宋体" w:hAnsi="宋体" w:eastAsia="宋体" w:cs="宋体"/>
          <w:i w:val="0"/>
          <w:iCs w:val="0"/>
          <w:caps w:val="0"/>
          <w:color w:val="333333"/>
          <w:spacing w:val="0"/>
          <w:sz w:val="24"/>
          <w:szCs w:val="24"/>
          <w:shd w:val="clear" w:fill="FFFFFF"/>
          <w:lang w:val="en-US" w:eastAsia="zh-CN"/>
        </w:rPr>
        <w:t>起施行，有效期5年</w:t>
      </w:r>
    </w:p>
    <w:p w14:paraId="47164A31">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2" w:firstLineChars="20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第二十一条</w:t>
      </w:r>
      <w:r>
        <w:rPr>
          <w:rFonts w:hint="eastAsia" w:ascii="宋体" w:hAnsi="宋体" w:eastAsia="宋体" w:cs="宋体"/>
          <w:i w:val="0"/>
          <w:iCs w:val="0"/>
          <w:caps w:val="0"/>
          <w:color w:val="333333"/>
          <w:spacing w:val="0"/>
          <w:sz w:val="24"/>
          <w:szCs w:val="24"/>
          <w:shd w:val="clear" w:fill="FFFFFF"/>
        </w:rPr>
        <w:t>　电力企业采用密码进行等级保护的，应当遵照《中华人民共和国密码法》等有关法律法规和国家密码管理部门制定的网络安全等级保护密码技术标准执行。</w:t>
      </w:r>
    </w:p>
    <w:p w14:paraId="3565643E">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2" w:firstLineChars="20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第二十二条</w:t>
      </w:r>
      <w:r>
        <w:rPr>
          <w:rFonts w:hint="eastAsia" w:ascii="宋体" w:hAnsi="宋体" w:eastAsia="宋体" w:cs="宋体"/>
          <w:i w:val="0"/>
          <w:iCs w:val="0"/>
          <w:caps w:val="0"/>
          <w:color w:val="333333"/>
          <w:spacing w:val="0"/>
          <w:sz w:val="24"/>
          <w:szCs w:val="24"/>
          <w:shd w:val="clear" w:fill="FFFFFF"/>
        </w:rPr>
        <w:t>　电力企业网络安全等级保护中密码的配备、使用和管理等，应当严格执行国家密码管理的有关规定。运用密码技术进行网络安全等级保护建设与整改时，应当采用商用密码检测、认证机构检测认证合格的商用密码产品和服务。涉及商用密码进口的，还应当符合国家商用密码进口许可有关要求。</w:t>
      </w:r>
    </w:p>
    <w:p w14:paraId="6DD881E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b/>
          <w:bCs/>
          <w:i w:val="0"/>
          <w:iCs w:val="0"/>
          <w:caps w:val="0"/>
          <w:color w:val="333333"/>
          <w:spacing w:val="0"/>
          <w:sz w:val="24"/>
          <w:szCs w:val="24"/>
          <w:shd w:val="clear" w:fill="FFFFFF"/>
        </w:rPr>
        <w:t>第二十三条</w:t>
      </w:r>
      <w:r>
        <w:rPr>
          <w:rFonts w:hint="eastAsia" w:ascii="宋体" w:hAnsi="宋体" w:eastAsia="宋体" w:cs="宋体"/>
          <w:i w:val="0"/>
          <w:iCs w:val="0"/>
          <w:caps w:val="0"/>
          <w:color w:val="333333"/>
          <w:spacing w:val="0"/>
          <w:sz w:val="24"/>
          <w:szCs w:val="24"/>
          <w:shd w:val="clear" w:fill="FFFFFF"/>
        </w:rPr>
        <w:t>　电力企业应当按照有关法律法规要求，开展商用密码应用安全性评估工作。</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"https://www.gov.cn/gongbao/content/2023/content_5743639.htm" </w:instrText>
      </w:r>
      <w:r>
        <w:rPr>
          <w:rFonts w:hint="eastAsia" w:ascii="宋体" w:hAnsi="宋体" w:eastAsia="宋体" w:cs="宋体"/>
          <w:i w:val="0"/>
          <w:iCs w:val="0"/>
          <w:caps w:val="0"/>
          <w:color w:val="333333"/>
          <w:spacing w:val="0"/>
          <w:sz w:val="24"/>
          <w:szCs w:val="24"/>
          <w:shd w:val="clear" w:fill="FFFFFF"/>
        </w:rPr>
        <w:fldChar w:fldCharType="separate"/>
      </w:r>
      <w:r>
        <w:rPr>
          <w:rStyle w:val="16"/>
          <w:rFonts w:hint="eastAsia" w:ascii="宋体" w:hAnsi="宋体" w:eastAsia="宋体" w:cs="宋体"/>
          <w:i w:val="0"/>
          <w:iCs w:val="0"/>
          <w:caps w:val="0"/>
          <w:spacing w:val="0"/>
          <w:sz w:val="24"/>
          <w:szCs w:val="24"/>
          <w:shd w:val="clear" w:fill="FFFFFF"/>
        </w:rPr>
        <w:t>https://www.gov.cn/gongbao/content/2023/content_5743639.htm</w:t>
      </w:r>
      <w:r>
        <w:rPr>
          <w:rFonts w:hint="eastAsia" w:ascii="宋体" w:hAnsi="宋体" w:eastAsia="宋体" w:cs="宋体"/>
          <w:i w:val="0"/>
          <w:iCs w:val="0"/>
          <w:caps w:val="0"/>
          <w:color w:val="333333"/>
          <w:spacing w:val="0"/>
          <w:sz w:val="24"/>
          <w:szCs w:val="24"/>
          <w:shd w:val="clear" w:fill="FFFFFF"/>
        </w:rPr>
        <w:fldChar w:fldCharType="end"/>
      </w:r>
    </w:p>
    <w:p w14:paraId="4C55ED4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p>
    <w:p w14:paraId="03826C87">
      <w:pPr>
        <w:numPr>
          <w:ilvl w:val="0"/>
          <w:numId w:val="0"/>
        </w:numPr>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国家能源局关于印发</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电力行业网络安全管理办法</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的通知</w:t>
      </w:r>
      <w:r>
        <w:rPr>
          <w:rFonts w:hint="eastAsia" w:ascii="宋体" w:hAnsi="宋体" w:eastAsia="宋体" w:cs="宋体"/>
          <w:b w:val="0"/>
          <w:bCs w:val="0"/>
          <w:sz w:val="24"/>
          <w:szCs w:val="24"/>
          <w:lang w:eastAsia="zh-CN"/>
        </w:rPr>
        <w:t>》</w:t>
      </w:r>
    </w:p>
    <w:p w14:paraId="602D9C99">
      <w:pPr>
        <w:numPr>
          <w:ilvl w:val="0"/>
          <w:numId w:val="0"/>
        </w:numPr>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国能发安全规〔2022〕100号，成文</w:t>
      </w:r>
      <w:r>
        <w:rPr>
          <w:rFonts w:hint="eastAsia" w:ascii="宋体" w:hAnsi="宋体" w:eastAsia="宋体" w:cs="宋体"/>
          <w:b w:val="0"/>
          <w:bCs w:val="0"/>
          <w:sz w:val="24"/>
          <w:szCs w:val="24"/>
          <w:lang w:val="en-US" w:eastAsia="zh-CN"/>
        </w:rPr>
        <w:t>日期</w:t>
      </w:r>
      <w:r>
        <w:rPr>
          <w:rFonts w:hint="eastAsia" w:ascii="宋体" w:hAnsi="宋体" w:eastAsia="宋体" w:cs="宋体"/>
          <w:b w:val="0"/>
          <w:bCs w:val="0"/>
          <w:sz w:val="24"/>
          <w:szCs w:val="24"/>
        </w:rPr>
        <w:t>为2022年11月16日</w:t>
      </w:r>
    </w:p>
    <w:p w14:paraId="1DB727D6">
      <w:pPr>
        <w:numPr>
          <w:ilvl w:val="0"/>
          <w:numId w:val="0"/>
        </w:numPr>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w:t>
      </w:r>
      <w:r>
        <w:rPr>
          <w:rFonts w:hint="eastAsia" w:ascii="宋体" w:hAnsi="宋体" w:eastAsia="宋体" w:cs="宋体"/>
          <w:b w:val="0"/>
          <w:bCs w:val="0"/>
          <w:sz w:val="24"/>
          <w:szCs w:val="24"/>
        </w:rPr>
        <w:t>电力企业应当按照国家有关规定开展商用密码应用安全性评估等工作，未达到要求的应当及时进行整改；</w:t>
      </w:r>
    </w:p>
    <w:p w14:paraId="11313FD8">
      <w:pPr>
        <w:numPr>
          <w:ilvl w:val="0"/>
          <w:numId w:val="0"/>
        </w:numPr>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w:t>
      </w:r>
      <w:r>
        <w:rPr>
          <w:rFonts w:hint="eastAsia" w:ascii="宋体" w:hAnsi="宋体" w:eastAsia="宋体" w:cs="宋体"/>
          <w:b w:val="0"/>
          <w:bCs w:val="0"/>
          <w:sz w:val="24"/>
          <w:szCs w:val="24"/>
        </w:rPr>
        <w:t>电力行业关键信息基础设施运营者应当于每年11月1日前，将当年关键信息基础设施安全保护工作的专项总结报行业部门，总结内容应当包括但不限于网络产品和服务采购情况、密码使用情况、下一年度安全保护计划等。</w:t>
      </w: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"http://zfxxgk.nea.gov.cn/2022-11/16/c_1310683245.htm" </w:instrText>
      </w:r>
      <w:r>
        <w:rPr>
          <w:rFonts w:hint="eastAsia" w:ascii="宋体" w:hAnsi="宋体" w:eastAsia="宋体" w:cs="宋体"/>
          <w:b w:val="0"/>
          <w:bCs w:val="0"/>
          <w:sz w:val="24"/>
          <w:szCs w:val="24"/>
        </w:rPr>
        <w:fldChar w:fldCharType="separate"/>
      </w:r>
      <w:r>
        <w:rPr>
          <w:rStyle w:val="15"/>
          <w:rFonts w:hint="eastAsia" w:ascii="宋体" w:hAnsi="宋体" w:eastAsia="宋体" w:cs="宋体"/>
          <w:b w:val="0"/>
          <w:bCs w:val="0"/>
          <w:sz w:val="24"/>
          <w:szCs w:val="24"/>
        </w:rPr>
        <w:t>http://zfxxgk.nea.gov.cn/2022-11/16/c_1310683245.htm</w:t>
      </w:r>
      <w:r>
        <w:rPr>
          <w:rFonts w:hint="eastAsia" w:ascii="宋体" w:hAnsi="宋体" w:eastAsia="宋体" w:cs="宋体"/>
          <w:b w:val="0"/>
          <w:bCs w:val="0"/>
          <w:sz w:val="24"/>
          <w:szCs w:val="24"/>
        </w:rPr>
        <w:fldChar w:fldCharType="end"/>
      </w:r>
    </w:p>
    <w:p w14:paraId="520026C9">
      <w:pPr>
        <w:numPr>
          <w:ilvl w:val="0"/>
          <w:numId w:val="0"/>
        </w:numPr>
        <w:jc w:val="left"/>
        <w:rPr>
          <w:rFonts w:hint="eastAsia" w:ascii="宋体" w:hAnsi="宋体" w:eastAsia="宋体" w:cs="宋体"/>
          <w:b w:val="0"/>
          <w:bCs w:val="0"/>
          <w:sz w:val="24"/>
          <w:szCs w:val="24"/>
        </w:rPr>
      </w:pP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rPr>
        <w:t>《国家能源局关于印发</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电力行业网络安全等级保护管理办法</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的通知》</w:t>
      </w:r>
    </w:p>
    <w:p w14:paraId="4E1DAF76">
      <w:pPr>
        <w:numPr>
          <w:ilvl w:val="0"/>
          <w:numId w:val="0"/>
        </w:numPr>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国能发安全规〔2022〕101号，成文</w:t>
      </w:r>
      <w:r>
        <w:rPr>
          <w:rFonts w:hint="eastAsia" w:ascii="宋体" w:hAnsi="宋体" w:eastAsia="宋体" w:cs="宋体"/>
          <w:b w:val="0"/>
          <w:bCs w:val="0"/>
          <w:sz w:val="24"/>
          <w:szCs w:val="24"/>
          <w:lang w:val="en-US" w:eastAsia="zh-CN"/>
        </w:rPr>
        <w:t>日期</w:t>
      </w:r>
      <w:r>
        <w:rPr>
          <w:rFonts w:hint="eastAsia" w:ascii="宋体" w:hAnsi="宋体" w:eastAsia="宋体" w:cs="宋体"/>
          <w:b w:val="0"/>
          <w:bCs w:val="0"/>
          <w:sz w:val="24"/>
          <w:szCs w:val="24"/>
        </w:rPr>
        <w:t>为2022年11月16日</w:t>
      </w:r>
    </w:p>
    <w:p w14:paraId="0632BD87">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w:t>
      </w:r>
      <w:r>
        <w:rPr>
          <w:rFonts w:hint="eastAsia" w:ascii="宋体" w:hAnsi="宋体" w:eastAsia="宋体" w:cs="宋体"/>
          <w:b w:val="0"/>
          <w:bCs w:val="0"/>
          <w:sz w:val="24"/>
          <w:szCs w:val="24"/>
        </w:rPr>
        <w:t>单独设置“网络安全等级保护的密码管理”章节，要求电力企业应当按照有关法律法规要求，开展商用密码应用安全性评估工作</w:t>
      </w: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"http://zfxxgk.nea.gov.cn/2022-11/16/c_1310683235.htm" </w:instrText>
      </w:r>
      <w:r>
        <w:rPr>
          <w:rFonts w:hint="eastAsia" w:ascii="宋体" w:hAnsi="宋体" w:eastAsia="宋体" w:cs="宋体"/>
          <w:b w:val="0"/>
          <w:bCs w:val="0"/>
          <w:sz w:val="24"/>
          <w:szCs w:val="24"/>
        </w:rPr>
        <w:fldChar w:fldCharType="separate"/>
      </w:r>
      <w:r>
        <w:rPr>
          <w:rStyle w:val="15"/>
          <w:rFonts w:hint="eastAsia" w:ascii="宋体" w:hAnsi="宋体" w:eastAsia="宋体" w:cs="宋体"/>
          <w:b w:val="0"/>
          <w:bCs w:val="0"/>
          <w:sz w:val="24"/>
          <w:szCs w:val="24"/>
        </w:rPr>
        <w:t>http://zfxxgk.nea.gov.cn/2022-11/16/c_1310683235.htm</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lang w:val="en-US" w:eastAsia="zh-CN"/>
        </w:rPr>
        <w:t>《工业和信息化部 国家发展和改革委员会 科学技术部 生态环境部 应急管理部 国家能源局关于“十四五”推动石化化工行业高质量发展的指导意见》</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工信部联原〔2022〕34号，成文日期为2022年3月28日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·实施石化行业工业互联网企业网络安全分类分级管理，推动商用密码应用，提升安全防护水平。</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"http://www.gov.cn/zhengce/zhengceku/2022-04/08/content_5683972.htm"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http://www.gov.cn/zhengce/zhengceku/2022-04/08/content_5683972.htm</w:t>
      </w:r>
      <w:r>
        <w:rPr>
          <w:rFonts w:hint="eastAsia" w:ascii="宋体" w:hAnsi="宋体" w:eastAsia="宋体" w:cs="宋体"/>
          <w:b w:val="0"/>
          <w:bCs w:val="0"/>
          <w:sz w:val="24"/>
          <w:szCs w:val="24"/>
          <w:lang w:val="en-US" w:eastAsia="zh-CN"/>
        </w:rPr>
        <w:fldChar w:fldCharType="end"/>
      </w:r>
    </w:p>
    <w:p w14:paraId="69C34458">
      <w:pPr>
        <w:numPr>
          <w:ilvl w:val="0"/>
          <w:numId w:val="0"/>
        </w:numPr>
        <w:jc w:val="left"/>
        <w:rPr>
          <w:rFonts w:hint="eastAsia" w:ascii="宋体" w:hAnsi="宋体" w:eastAsia="宋体" w:cs="宋体"/>
          <w:b w:val="0"/>
          <w:bCs w:val="0"/>
          <w:sz w:val="24"/>
          <w:szCs w:val="24"/>
          <w:lang w:val="en-US" w:eastAsia="zh-CN"/>
        </w:rPr>
      </w:pPr>
    </w:p>
    <w:p w14:paraId="5044F50A">
      <w:pPr>
        <w:numPr>
          <w:ilvl w:val="0"/>
          <w:numId w:val="0"/>
        </w:numPr>
        <w:jc w:val="left"/>
        <w:rPr>
          <w:rFonts w:hint="eastAsia" w:ascii="宋体" w:hAnsi="宋体" w:eastAsia="宋体" w:cs="宋体"/>
          <w:b w:val="0"/>
          <w:bCs w:val="0"/>
          <w:sz w:val="24"/>
          <w:szCs w:val="24"/>
          <w:lang w:val="en-US" w:eastAsia="zh-CN"/>
        </w:rPr>
      </w:pPr>
    </w:p>
    <w:p w14:paraId="0B74EC06">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《国家能源局关于印发＜2022年能源工作指导意见＞的通知》</w:t>
      </w:r>
    </w:p>
    <w:p w14:paraId="04DC4DE4">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国能发规划〔2022〕31号，成文日期为2022年3月17日</w:t>
      </w:r>
    </w:p>
    <w:p w14:paraId="5FDE2E8A">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加快能源系统数字化升级。积极开展煤矿、油气田、管网、电网、电厂等领域设备设施、工艺流程的智能化升级。推动分布式能源、微电网、多能互补等智慧能源与智慧城市、园区协同发展。加强北斗系统、5G、国密算法等新技术和“互联网+安全监管”智能技术在能源领域的推广应用。</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"http://zfxxgk.nea.gov.cn/2022-03/17/c_1310534134.htm"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http://zfxxgk.nea.gov.cn/2022-03/17/c_1310534134.htm</w:t>
      </w:r>
      <w:r>
        <w:rPr>
          <w:rFonts w:hint="eastAsia" w:ascii="宋体" w:hAnsi="宋体" w:eastAsia="宋体" w:cs="宋体"/>
          <w:b w:val="0"/>
          <w:bCs w:val="0"/>
          <w:sz w:val="24"/>
          <w:szCs w:val="24"/>
          <w:lang w:val="en-US" w:eastAsia="zh-CN"/>
        </w:rPr>
        <w:fldChar w:fldCharType="end"/>
      </w:r>
    </w:p>
    <w:p w14:paraId="4E3285A9">
      <w:pPr>
        <w:numPr>
          <w:ilvl w:val="0"/>
          <w:numId w:val="0"/>
        </w:numPr>
        <w:jc w:val="left"/>
        <w:rPr>
          <w:rFonts w:hint="eastAsia" w:ascii="宋体" w:hAnsi="宋体" w:eastAsia="宋体" w:cs="宋体"/>
          <w:b w:val="0"/>
          <w:bCs w:val="0"/>
          <w:sz w:val="24"/>
          <w:szCs w:val="24"/>
          <w:lang w:val="en-US" w:eastAsia="zh-CN"/>
        </w:rPr>
      </w:pPr>
    </w:p>
    <w:p w14:paraId="5C436BBC">
      <w:pPr>
        <w:numPr>
          <w:ilvl w:val="0"/>
          <w:numId w:val="0"/>
        </w:numPr>
        <w:jc w:val="left"/>
        <w:rPr>
          <w:rFonts w:hint="eastAsia" w:ascii="宋体" w:hAnsi="宋体" w:eastAsia="宋体" w:cs="宋体"/>
          <w:b w:val="0"/>
          <w:bCs w:val="0"/>
          <w:sz w:val="24"/>
          <w:szCs w:val="24"/>
          <w:lang w:val="en-US" w:eastAsia="zh-CN"/>
        </w:rPr>
      </w:pPr>
    </w:p>
    <w:p w14:paraId="7201BF96">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《国家发展改革委 国家能源局关于印发＜“十四五”现代能源体系规划＞的通知》</w:t>
      </w:r>
    </w:p>
    <w:p w14:paraId="56A95C95">
      <w:pPr>
        <w:numPr>
          <w:ilvl w:val="0"/>
          <w:numId w:val="0"/>
        </w:numPr>
        <w:jc w:val="left"/>
        <w:rPr>
          <w:rStyle w:val="16"/>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发改能源〔2022〕210号，成文日期为2022年1月29日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网络安全管控。加快推进电力监控系统安全防护体系完善工程、电力信息系统密码基础设施建设工程、北斗时空基础设施应用及智能化运营体系工程建设，开展北斗时频网建设，推进重点企业电力北斗综合服务平台建设和终端应用试点。建成电力行业网络安全态势感知平台和全业务、分布式、高仿真的电力行业网络安全仿真验证环境。</w:t>
      </w:r>
      <w:r>
        <w:rPr>
          <w:rFonts w:hint="eastAsia" w:ascii="宋体" w:hAnsi="宋体" w:eastAsia="宋体" w:cs="宋体"/>
          <w:b w:val="0"/>
          <w:bCs w:val="0"/>
          <w:sz w:val="24"/>
          <w:szCs w:val="24"/>
          <w:lang w:val="en-US" w:eastAsia="zh-CN"/>
        </w:rPr>
        <w:br w:type="textWrapping"/>
      </w:r>
      <w:r>
        <w:rPr>
          <w:rStyle w:val="16"/>
          <w:rFonts w:hint="eastAsia" w:ascii="宋体" w:hAnsi="宋体" w:eastAsia="宋体" w:cs="宋体"/>
          <w:b w:val="0"/>
          <w:bCs w:val="0"/>
          <w:sz w:val="24"/>
          <w:szCs w:val="24"/>
          <w:lang w:val="en-US" w:eastAsia="zh-CN"/>
        </w:rPr>
        <w:fldChar w:fldCharType="begin"/>
      </w:r>
      <w:r>
        <w:rPr>
          <w:rStyle w:val="16"/>
          <w:rFonts w:hint="eastAsia" w:ascii="宋体" w:hAnsi="宋体" w:eastAsia="宋体" w:cs="宋体"/>
          <w:b w:val="0"/>
          <w:bCs w:val="0"/>
          <w:sz w:val="24"/>
          <w:szCs w:val="24"/>
          <w:lang w:val="en-US" w:eastAsia="zh-CN"/>
        </w:rPr>
        <w:instrText xml:space="preserve"> HYPERLINK "https://www.ndrc.gov.cn/xxgk/zcfb/ghwb/202203/t20220322_1320016.html?state=123&amp;code=&amp;state=123" </w:instrText>
      </w:r>
      <w:r>
        <w:rPr>
          <w:rStyle w:val="16"/>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https://www.ndrc.gov.cn/xxgk/zcfb/ghwb/202203/t20220322_1320016.html?state=123&amp;code=&amp;state=123</w:t>
      </w:r>
      <w:r>
        <w:rPr>
          <w:rStyle w:val="16"/>
          <w:rFonts w:hint="eastAsia" w:ascii="宋体" w:hAnsi="宋体" w:eastAsia="宋体" w:cs="宋体"/>
          <w:b w:val="0"/>
          <w:bCs w:val="0"/>
          <w:sz w:val="24"/>
          <w:szCs w:val="24"/>
          <w:lang w:val="en-US" w:eastAsia="zh-CN"/>
        </w:rPr>
        <w:fldChar w:fldCharType="end"/>
      </w:r>
    </w:p>
    <w:p w14:paraId="1C2B372A">
      <w:pPr>
        <w:numPr>
          <w:ilvl w:val="0"/>
          <w:numId w:val="0"/>
        </w:numPr>
        <w:jc w:val="left"/>
        <w:rPr>
          <w:rStyle w:val="18"/>
          <w:rFonts w:hint="eastAsia" w:ascii="宋体" w:hAnsi="宋体" w:eastAsia="宋体" w:cs="宋体"/>
          <w:sz w:val="24"/>
          <w:szCs w:val="24"/>
          <w:lang w:val="en-US" w:eastAsia="zh-CN"/>
        </w:rPr>
      </w:pPr>
      <w:r>
        <w:rPr>
          <w:rFonts w:hint="eastAsia" w:ascii="宋体" w:hAnsi="宋体" w:eastAsia="宋体" w:cs="宋体"/>
          <w:b w:val="0"/>
          <w:bCs w:val="0"/>
          <w:sz w:val="24"/>
          <w:szCs w:val="24"/>
        </w:rPr>
        <w:br w:type="textWrapping"/>
      </w:r>
      <w:bookmarkStart w:id="5" w:name="_Toc24539"/>
      <w:r>
        <w:rPr>
          <w:rStyle w:val="18"/>
          <w:rFonts w:hint="eastAsia" w:ascii="宋体" w:hAnsi="宋体" w:eastAsia="宋体" w:cs="宋体"/>
          <w:sz w:val="24"/>
          <w:szCs w:val="24"/>
          <w:lang w:val="en-US" w:eastAsia="zh-CN"/>
        </w:rPr>
        <w:t>（四）资源信息化网络密码应用</w:t>
      </w:r>
      <w:r>
        <w:rPr>
          <w:rStyle w:val="18"/>
          <w:rFonts w:hint="eastAsia" w:ascii="宋体" w:hAnsi="宋体" w:eastAsia="宋体" w:cs="宋体"/>
          <w:sz w:val="24"/>
          <w:szCs w:val="24"/>
          <w:lang w:val="en-US" w:eastAsia="zh-CN"/>
        </w:rPr>
        <w:br w:type="textWrapping"/>
      </w:r>
      <w:bookmarkEnd w:id="5"/>
    </w:p>
    <w:p w14:paraId="3C97BD0E">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《水利部关于推进水库、水闸、蓄滞洪区运行管理数字孪生的指导意见》</w:t>
      </w:r>
    </w:p>
    <w:p w14:paraId="20706A10">
      <w:pPr>
        <w:numPr>
          <w:ilvl w:val="0"/>
          <w:numId w:val="0"/>
        </w:numPr>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b w:val="0"/>
          <w:bCs w:val="0"/>
          <w:sz w:val="24"/>
          <w:szCs w:val="24"/>
          <w:lang w:val="en-US" w:eastAsia="zh-CN"/>
        </w:rPr>
        <w:t>水运管〔2024〕269号，成文日期为2024年10月14日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（五）加强网络信息安全保障</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w:t>
      </w:r>
      <w:r>
        <w:rPr>
          <w:rFonts w:hint="eastAsia" w:ascii="宋体" w:hAnsi="宋体" w:eastAsia="宋体" w:cs="宋体"/>
          <w:i w:val="0"/>
          <w:iCs w:val="0"/>
          <w:caps w:val="0"/>
          <w:color w:val="333333"/>
          <w:spacing w:val="0"/>
          <w:sz w:val="24"/>
          <w:szCs w:val="24"/>
          <w:shd w:val="clear" w:fill="FFFFFF"/>
        </w:rPr>
        <w:t>落实网络信息安全管理主体责任，严格执行国家和水利行业网络信息安全和保密管理规定，构建完善的网络安全组织管理体系、安全技术体系和安全运营体系，加强数据安全保护，全面保障数字孪生水利工程数据安全。落实工控系统分区分域、设备自主可控、国产商用密码保护、网络可信准入等要求。</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"https://www.gov.cn/gongbao/2024/issue_11726/202411/content_6989758.html" </w:instrText>
      </w:r>
      <w:r>
        <w:rPr>
          <w:rFonts w:hint="eastAsia" w:ascii="宋体" w:hAnsi="宋体" w:eastAsia="宋体" w:cs="宋体"/>
          <w:i w:val="0"/>
          <w:iCs w:val="0"/>
          <w:caps w:val="0"/>
          <w:color w:val="333333"/>
          <w:spacing w:val="0"/>
          <w:sz w:val="24"/>
          <w:szCs w:val="24"/>
          <w:shd w:val="clear" w:fill="FFFFFF"/>
        </w:rPr>
        <w:fldChar w:fldCharType="separate"/>
      </w:r>
      <w:r>
        <w:rPr>
          <w:rStyle w:val="16"/>
          <w:rFonts w:hint="eastAsia" w:ascii="宋体" w:hAnsi="宋体" w:eastAsia="宋体" w:cs="宋体"/>
          <w:i w:val="0"/>
          <w:iCs w:val="0"/>
          <w:caps w:val="0"/>
          <w:spacing w:val="0"/>
          <w:sz w:val="24"/>
          <w:szCs w:val="24"/>
          <w:shd w:val="clear" w:fill="FFFFFF"/>
        </w:rPr>
        <w:t>https://www.gov.cn/gongbao/2024/issue_11726/202411/content_6989758.html</w:t>
      </w:r>
      <w:r>
        <w:rPr>
          <w:rFonts w:hint="eastAsia" w:ascii="宋体" w:hAnsi="宋体" w:eastAsia="宋体" w:cs="宋体"/>
          <w:i w:val="0"/>
          <w:iCs w:val="0"/>
          <w:caps w:val="0"/>
          <w:color w:val="333333"/>
          <w:spacing w:val="0"/>
          <w:sz w:val="24"/>
          <w:szCs w:val="24"/>
          <w:shd w:val="clear" w:fill="FFFFFF"/>
        </w:rPr>
        <w:fldChar w:fldCharType="end"/>
      </w:r>
    </w:p>
    <w:p w14:paraId="7A475A7A">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《水利部关于印发＜水利建设市场经营主体信用信息管理办法＞的通知》</w:t>
      </w:r>
    </w:p>
    <w:p w14:paraId="4C005B2D">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水建设〔2024〕201号，成文日期为2024年7月27日</w:t>
      </w:r>
    </w:p>
    <w:p w14:paraId="70D71C74">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    第二十八条　全国水利监管平台应加强信用信息安全基础设施和安全防护能力建设，保障信息安全。按照保护水利建设市场经营主体权益的要求，明确信息查询使用权限和程序，依据《信息安全等级保护管理办法》做好系统备案和安全保护等级确定，对重要信息加密保护，完善信息查询使用登记和审查制度，防止信息被窃取或泄露。</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"https://www.gov.cn/gongbao/2024/issue_11606/202409/content_6976921.html"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https://www.gov.cn/gongbao/2024/issue_11606/202409/content_6976921.html</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p>
    <w:p w14:paraId="5FEBD361">
      <w:pPr>
        <w:numPr>
          <w:ilvl w:val="0"/>
          <w:numId w:val="0"/>
        </w:numPr>
        <w:jc w:val="left"/>
        <w:rPr>
          <w:rFonts w:hint="eastAsia" w:ascii="宋体" w:hAnsi="宋体" w:eastAsia="宋体" w:cs="宋体"/>
          <w:b w:val="0"/>
          <w:bCs w:val="0"/>
          <w:sz w:val="24"/>
          <w:szCs w:val="24"/>
          <w:lang w:val="en-US" w:eastAsia="zh-CN"/>
        </w:rPr>
      </w:pPr>
    </w:p>
    <w:p w14:paraId="330C124B">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《自然资源部关于印发＜关于加强自然资源领域基础研究的若干举措＞的通知》</w:t>
      </w:r>
    </w:p>
    <w:p w14:paraId="0344DFCE">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自然资发〔2024〕118号，成文日期为2024年6月30日</w:t>
      </w:r>
    </w:p>
    <w:p w14:paraId="7376BA2F">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九、发展需求-数据-知识驱动的科研范式</w:t>
      </w:r>
    </w:p>
    <w:p w14:paraId="089B80E6">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以自然资源数据为基础，以专业领域知识为引导，以地球系统模拟为场景，推动大数据、人工智能、商用密码等先进技术在自然资源系统性复杂性问题研究上的创新应用，催生新的自然资源研究方向，提升自然资源创新效能。</w:t>
      </w:r>
    </w:p>
    <w:p w14:paraId="06030FF8">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"https://www.gov.cn/zhengce/zhengceku/202407/content_6960890.htm"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https://www.gov.cn/zhengce/zhengceku/202407/content_6960890.htm</w:t>
      </w:r>
      <w:r>
        <w:rPr>
          <w:rFonts w:hint="eastAsia" w:ascii="宋体" w:hAnsi="宋体" w:eastAsia="宋体" w:cs="宋体"/>
          <w:b w:val="0"/>
          <w:bCs w:val="0"/>
          <w:sz w:val="24"/>
          <w:szCs w:val="24"/>
          <w:lang w:val="en-US" w:eastAsia="zh-CN"/>
        </w:rPr>
        <w:fldChar w:fldCharType="end"/>
      </w:r>
    </w:p>
    <w:p w14:paraId="35B1977D">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p>
    <w:p w14:paraId="787B39D5">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《自然资源部关于印发＜自然资源领域数据安全管理办法＞的通知》</w:t>
      </w:r>
    </w:p>
    <w:p w14:paraId="46C0F6CA">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自然资发〔2024〕57号，成文日期为</w:t>
      </w:r>
      <w:r>
        <w:rPr>
          <w:rFonts w:hint="eastAsia" w:ascii="宋体" w:hAnsi="宋体" w:eastAsia="宋体" w:cs="宋体"/>
          <w:i w:val="0"/>
          <w:iCs w:val="0"/>
          <w:caps w:val="0"/>
          <w:color w:val="333333"/>
          <w:spacing w:val="0"/>
          <w:sz w:val="24"/>
          <w:szCs w:val="24"/>
          <w:shd w:val="clear" w:fill="FFFFFF"/>
        </w:rPr>
        <w:t>2024年3月22日</w:t>
      </w:r>
    </w:p>
    <w:p w14:paraId="57659A07">
      <w:pPr>
        <w:numPr>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第十二条 数据处理者应当对数据处理活动安全负主体责任,对各类数据实行分级防护，不同级别数据同时被处理且难以分别采取保护措施的，应当按照其中级别最高的要求实施保护，确保数据持续处于有效保护和合法利用的状态。</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（三）利用互联网等信息网络开展数据处理活动时，要落实网络安全等级保护、关键信息基础设施安全保护、密码保护和保密等制度要求；</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第二十三条  数据处理者应当在数据全生命周期处理过程中，记录数据处理、权限管理、人员操作等日志，并采用商用密码技术保护日志的完整性。其中，一般数据的日志留存时间不少于六个月，涉及重要数据安全事件处置、溯源的，相关日志留存时间不少于一年；涉及向他人提供、委托处理、共同处理重要数据的，相关日志留存时间不少于三年。涉及核心数据安全事件处置、溯源的相关日志留存时间不少于三年。</w:t>
      </w:r>
    </w:p>
    <w:p w14:paraId="051437D3">
      <w:pPr>
        <w:widowControl w:val="0"/>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"https://www.gov.cn/zhengce/zhengceku/202403/content_6942232.htm"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https://www.gov.cn/zhengce/zhengceku/202403/content_6942232.htm</w:t>
      </w:r>
      <w:r>
        <w:rPr>
          <w:rFonts w:hint="eastAsia" w:ascii="宋体" w:hAnsi="宋体" w:eastAsia="宋体" w:cs="宋体"/>
          <w:b w:val="0"/>
          <w:bCs w:val="0"/>
          <w:sz w:val="24"/>
          <w:szCs w:val="24"/>
          <w:lang w:val="en-US" w:eastAsia="zh-CN"/>
        </w:rPr>
        <w:fldChar w:fldCharType="end"/>
      </w:r>
    </w:p>
    <w:p w14:paraId="17AE157B">
      <w:pPr>
        <w:widowControl w:val="0"/>
        <w:numPr>
          <w:ilvl w:val="0"/>
          <w:numId w:val="0"/>
        </w:numPr>
        <w:jc w:val="left"/>
        <w:rPr>
          <w:rFonts w:hint="eastAsia" w:ascii="宋体" w:hAnsi="宋体" w:eastAsia="宋体" w:cs="宋体"/>
          <w:b w:val="0"/>
          <w:bCs w:val="0"/>
          <w:sz w:val="24"/>
          <w:szCs w:val="24"/>
          <w:lang w:val="en-US" w:eastAsia="zh-CN"/>
        </w:rPr>
      </w:pPr>
    </w:p>
    <w:p w14:paraId="581CBF5C">
      <w:pPr>
        <w:widowControl w:val="0"/>
        <w:numPr>
          <w:ilvl w:val="0"/>
          <w:numId w:val="0"/>
        </w:numPr>
        <w:jc w:val="left"/>
        <w:rPr>
          <w:rFonts w:hint="eastAsia" w:ascii="宋体" w:hAnsi="宋体" w:eastAsia="宋体" w:cs="宋体"/>
          <w:b w:val="0"/>
          <w:bCs w:val="0"/>
          <w:sz w:val="24"/>
          <w:szCs w:val="24"/>
          <w:lang w:val="en-US" w:eastAsia="zh-CN"/>
        </w:rPr>
      </w:pPr>
    </w:p>
    <w:p w14:paraId="60D7F4E6">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《自然资源部关于印发〈自然资源数字化治理能力提升总体方案〉的通知》</w:t>
      </w:r>
    </w:p>
    <w:p w14:paraId="1D697DBD">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自然资发〔2024〕33号，成文时间为2024年2月5日</w:t>
      </w:r>
    </w:p>
    <w:p w14:paraId="1D02E7FF">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要求健全密码应用保障体系，构建以密码技术为核心的自然资源数据安全防护体系，统筹国土、海洋、测绘、地调等已建商用密码平台，打造部级密码平台，利用商用密码技术和产品，为关键信息基础设施和重要信息系统提供统一的密码技术支撑。</w:t>
      </w:r>
    </w:p>
    <w:p w14:paraId="3ABF4AC2">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"https://www.gov.cn/zhengce/zhengceku/202402/content_6931049.htm"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https://www.gov.cn/zhengce/zhengceku/202402/content_6931049.htm</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p>
    <w:p w14:paraId="5E9AA120">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《自然资源部关于加快测绘地理信息事业转型升级更好支撑高质量发展的意见》</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自然资发〔2023〕158号，成文日期为2023年8月22日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加强地理信息安全监管。以安全应用为核心，完善测绘地理信息法规政策，建立测绘地理信息数据分类分级保护制度，研究制定地理信息数据流通和交易负面清单。推进保密处理技术研发应用，推动国产密码技术融合应用。加强卫星导航定位基准站安全管理，规范基准站备案、建设、运维和服务。</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"https://www.gov.cn/zhengce/zhengceku/202308/content_6899855.htm"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https://www.gov.cn/zhengce/zhengceku/202308/content_6899855.htm</w:t>
      </w:r>
      <w:r>
        <w:rPr>
          <w:rFonts w:hint="eastAsia" w:ascii="宋体" w:hAnsi="宋体" w:eastAsia="宋体" w:cs="宋体"/>
          <w:b w:val="0"/>
          <w:bCs w:val="0"/>
          <w:sz w:val="24"/>
          <w:szCs w:val="24"/>
          <w:lang w:val="en-US" w:eastAsia="zh-CN"/>
        </w:rPr>
        <w:fldChar w:fldCharType="end"/>
      </w:r>
    </w:p>
    <w:p w14:paraId="65DAF010">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"http://www.mwr.gov.cn/zwgk/gknr/202303/t20230317_1649867.html" \o "《水利部办公厅关于印发2023年水利网信工作要点的通知》" \t "_blank"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lang w:val="en-US" w:eastAsia="zh-CN"/>
        </w:rPr>
        <w:t>《水利部办公厅关于印发2023年水利网信工作要点的通知》</w:t>
      </w:r>
      <w:r>
        <w:rPr>
          <w:rFonts w:hint="eastAsia" w:ascii="宋体" w:hAnsi="宋体" w:eastAsia="宋体" w:cs="宋体"/>
          <w:b w:val="0"/>
          <w:bCs w:val="0"/>
          <w:sz w:val="24"/>
          <w:szCs w:val="24"/>
          <w:lang w:val="en-US" w:eastAsia="zh-CN"/>
        </w:rPr>
        <w:fldChar w:fldCharType="end"/>
      </w:r>
    </w:p>
    <w:p w14:paraId="459CD475">
      <w:pPr>
        <w:numPr>
          <w:ilvl w:val="0"/>
          <w:numId w:val="0"/>
        </w:numPr>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"http://www.mwr.gov.cn/zwgk/gknr/202303/t20230317_1649867.html" \o "《水利部办公厅关于印发2023年水利网信工作要点的通知》" \t "_blank"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lang w:val="en-US" w:eastAsia="zh-CN"/>
        </w:rPr>
        <w:t>办信息〔2023〕73号，成文日期为2023年3月14日</w:t>
      </w:r>
      <w:r>
        <w:rPr>
          <w:rFonts w:hint="eastAsia" w:ascii="宋体" w:hAnsi="宋体" w:eastAsia="宋体" w:cs="宋体"/>
          <w:b w:val="0"/>
          <w:bCs w:val="0"/>
          <w:sz w:val="24"/>
          <w:szCs w:val="24"/>
          <w:lang w:val="en-US" w:eastAsia="zh-CN"/>
        </w:rPr>
        <w:fldChar w:fldCharType="end"/>
      </w:r>
    </w:p>
    <w:p w14:paraId="184D88A3">
      <w:pPr>
        <w:numPr>
          <w:ilvl w:val="0"/>
          <w:numId w:val="0"/>
        </w:numPr>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·持续推进数字孪生海河建设。深入开展流域数据治理，完善海河流域水利一张图1.0并推广应用。初步搭建模型管理平台，开展模型库建设。强化数据安全防护，建设数据安全基础防护设施，加大密码技术应用。</w:t>
      </w:r>
    </w:p>
    <w:p w14:paraId="66227B23">
      <w:pPr>
        <w:numPr>
          <w:ilvl w:val="0"/>
          <w:numId w:val="0"/>
        </w:numPr>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推进商用密码应用。开展以商用密码技术为核心的水利部数据安全治理平台项目建设，大力推进商用密码在小浪底水利枢纽、大藤峡水利枢纽等水利工程关键信息基础设施的应用，坚持数字孪生水利建设与密码应用“同步规划、同步建设、同步运行”原则，持续将商用密码应用落实情况统筹纳入水利网络安全监督检查范围，推动密码应用与网络安全、数据安全融合发展。</w:t>
      </w:r>
    </w:p>
    <w:p w14:paraId="1F6418DF">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"http://www.mwr.gov.cn/zwgk/gknr/202303/t20230317_1649867.html"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http://www.mwr.gov.cn/zwgk/gknr/202303/t20230317_1649867.html</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《自然资源部办公厅 国家林业和草原局办公室关于强化业务协同加快推进林权登记资料移交 数据整合和信息共享的通知》</w:t>
      </w:r>
    </w:p>
    <w:p w14:paraId="0BD5AA77">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自然资办发〔2023〕2号，成文日期为2023年1月12日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四、健全林权登记与林业管理信息共享机制</w:t>
      </w:r>
    </w:p>
    <w:p w14:paraId="7EB4CBBD">
      <w:pPr>
        <w:numPr>
          <w:ilvl w:val="0"/>
          <w:numId w:val="0"/>
        </w:numPr>
        <w:ind w:firstLine="48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各地自然资源和林草部门，应当立足本地信息化建设实际，通过多种方式、多种渠道，积极推进林业管理和林权登记信息互通共享，能够通过信息共享获取的材料，不得要求群众重复提交。</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三）保障信息共享安全。各地要建立安全的信息共享物理环境、网络环境、数据加密与传输机制，保障共享数据安全。要制定信息共享安全制度，共享信息仅用于林业管理和林权登记工作，防止数据外泄，确保信息安全。</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"https://www.gov.cn/zhengce/zhengceku/2023-01/19/content_5737927.htm"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https://www.gov.cn/zhengce/zhengceku/2023-01/19/content_5737927.htm</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《水利部关于印发〈“十四五”水利科技创新规划〉的通知》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水国科〔2021〕416号，成文日期为2021年12月31日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·开展水利关键信息基础设施网络安全防护体系研究,构建网络安全监控平台,研制安全可控的水利关键信息基础设施核心装备,并基于国产密码技术开展数据安全防护研究。</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"http://www.mwr.gov.cn/zwgk/gknr/202201/t20220117_1559761.html"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http://www.mwr.gov.cn/zwgk/gknr/202201/t20220117_1559761.html</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rPr>
        <w:br w:type="textWrapping"/>
      </w:r>
      <w:bookmarkStart w:id="6" w:name="_Toc1916"/>
      <w:r>
        <w:rPr>
          <w:rStyle w:val="18"/>
          <w:rFonts w:hint="eastAsia" w:ascii="宋体" w:hAnsi="宋体" w:eastAsia="宋体" w:cs="宋体"/>
          <w:sz w:val="24"/>
          <w:szCs w:val="24"/>
          <w:lang w:val="en-US" w:eastAsia="zh-CN"/>
        </w:rPr>
        <w:t>（五）城市基础设施网络密码应用</w:t>
      </w:r>
      <w:r>
        <w:rPr>
          <w:rStyle w:val="18"/>
          <w:rFonts w:hint="eastAsia" w:ascii="宋体" w:hAnsi="宋体" w:eastAsia="宋体" w:cs="宋体"/>
          <w:sz w:val="24"/>
          <w:szCs w:val="24"/>
          <w:lang w:val="en-US" w:eastAsia="zh-CN"/>
        </w:rPr>
        <w:br w:type="textWrapping"/>
      </w:r>
      <w:bookmarkEnd w:id="6"/>
      <w:r>
        <w:rPr>
          <w:rStyle w:val="18"/>
          <w:rFonts w:hint="eastAsia" w:ascii="宋体" w:hAnsi="宋体" w:eastAsia="宋体" w:cs="宋体"/>
          <w:sz w:val="24"/>
          <w:szCs w:val="24"/>
          <w:lang w:val="en-US" w:eastAsia="zh-CN"/>
        </w:rPr>
        <w:br w:type="textWrapping"/>
      </w:r>
      <w:r>
        <w:rPr>
          <w:rFonts w:hint="eastAsia" w:ascii="宋体" w:hAnsi="宋体" w:eastAsia="宋体" w:cs="宋体"/>
          <w:b w:val="0"/>
          <w:bCs w:val="0"/>
          <w:sz w:val="24"/>
          <w:szCs w:val="24"/>
          <w:lang w:val="en-US" w:eastAsia="zh-CN"/>
        </w:rPr>
        <w:t>《住房城乡建设部关于印发＜城市数字公共基础设施标准体系＞的通知》</w:t>
      </w:r>
    </w:p>
    <w:p w14:paraId="41BB31CF">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建标〔2024〕79号，成文日期为2024年10月25日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9.安全与保障</w:t>
      </w:r>
    </w:p>
    <w:p w14:paraId="2A37FC05">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规范信息技术应用创新、安全与保障等方面的要求，为网络基础设施、感知基础设施、算力基础设施、融合基础设施、公共数字底座、应用支撑、建设与运营提供安全支撑，包括网络安全、数据安全、密码应用安全和其他4个子类标准。</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（3）密码应用安全</w:t>
      </w:r>
    </w:p>
    <w:p w14:paraId="27C63E3A">
      <w:pPr>
        <w:numPr>
          <w:ilvl w:val="0"/>
          <w:numId w:val="0"/>
        </w:numPr>
        <w:jc w:val="left"/>
        <w:rPr>
          <w:rStyle w:val="18"/>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　　规范城市数字公共基础设施的物理与环境、网络与通信、设备与计算、应用与数据等国产密码应用的安全要求。</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"https://www.gov.cn/zhengce/zhengceku/202411/content_6984542.htm"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https://www.gov.cn/zhengce/zhengceku/202411/content_6984542.htm</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p>
    <w:p w14:paraId="5EA5B394">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lang w:val="en-US" w:eastAsia="zh-CN"/>
        </w:rPr>
        <w:t>《住房和城乡建设部等部门关于加快发展数字家庭 提高居住品质的指导意见》</w:t>
      </w:r>
    </w:p>
    <w:p w14:paraId="5E09545F">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建标〔2021〕28号，成文日期为2021年04月06日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强化网络和数字安全保障。数字家庭系统应同步规划、同步建设、同步使用网络安全技术。按照法律法规规定和国家强制性标准要求，采取技术等必要措施，保障数字家庭系统安全稳定运行，防止信息泄露、损毁、丢失，确保收集、产生数据和个人信息安全。遵守密码应用规定，形成安全可控完整的产业生态系统。</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"http://www.gov.cn/zhengce/zhengceku/2021-04/17/content_5600311.htm"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http://www.gov.cn/zhengce/zhengceku/2021-04/17/content_5600311.htm</w:t>
      </w:r>
      <w:r>
        <w:rPr>
          <w:rFonts w:hint="eastAsia" w:ascii="宋体" w:hAnsi="宋体" w:eastAsia="宋体" w:cs="宋体"/>
          <w:b w:val="0"/>
          <w:bCs w:val="0"/>
          <w:sz w:val="24"/>
          <w:szCs w:val="24"/>
          <w:lang w:val="en-US" w:eastAsia="zh-CN"/>
        </w:rPr>
        <w:fldChar w:fldCharType="end"/>
      </w:r>
    </w:p>
    <w:p w14:paraId="44C8DF9B">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lang w:val="en-US" w:eastAsia="zh-CN"/>
        </w:rPr>
        <w:t>《国家发展改革委办公厅关于加快落实新型城镇化建设补短板强弱项工作有序推进县城智慧化改造的通知》</w:t>
      </w:r>
    </w:p>
    <w:p w14:paraId="43D194C4">
      <w:pPr>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发改办高技〔2020〕530号，成文日期为2020年7月9日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w:t>
      </w:r>
      <w:r>
        <w:rPr>
          <w:rFonts w:hint="eastAsia" w:ascii="宋体" w:hAnsi="宋体" w:eastAsia="宋体" w:cs="宋体"/>
          <w:b w:val="0"/>
          <w:bCs w:val="0"/>
          <w:i w:val="0"/>
          <w:iCs w:val="0"/>
          <w:caps w:val="0"/>
          <w:color w:val="333333"/>
          <w:spacing w:val="0"/>
          <w:sz w:val="24"/>
          <w:szCs w:val="24"/>
          <w:shd w:val="clear" w:fill="FFFFFF"/>
        </w:rPr>
        <w:t>建全网络安全防护体系，做好网络安全与智慧化改造一体化推进。落实网络安全工作责任制要求，完善智慧化改造网络安全管理制度规范。认真落实国家网络安全等级保护、网络安全审查、云计算采购服务、国家密码管理等有关规定，采购部署安全可靠的软硬件产品，具备与智慧化水平相匹配的体系化安全防护能力。</w:t>
      </w:r>
      <w:r>
        <w:rPr>
          <w:rFonts w:hint="eastAsia" w:ascii="宋体" w:hAnsi="宋体" w:eastAsia="宋体" w:cs="宋体"/>
          <w:b w:val="0"/>
          <w:bCs w:val="0"/>
          <w:i w:val="0"/>
          <w:iCs w:val="0"/>
          <w:caps w:val="0"/>
          <w:color w:val="333333"/>
          <w:spacing w:val="0"/>
          <w:sz w:val="24"/>
          <w:szCs w:val="24"/>
          <w:shd w:val="clear" w:fill="FFFFFF"/>
        </w:rPr>
        <w:br w:type="textWrapping"/>
      </w:r>
      <w:r>
        <w:rPr>
          <w:rFonts w:hint="eastAsia" w:ascii="宋体" w:hAnsi="宋体" w:eastAsia="宋体" w:cs="宋体"/>
          <w:b w:val="0"/>
          <w:bCs w:val="0"/>
          <w:i w:val="0"/>
          <w:iCs w:val="0"/>
          <w:caps w:val="0"/>
          <w:color w:val="333333"/>
          <w:spacing w:val="0"/>
          <w:sz w:val="24"/>
          <w:szCs w:val="24"/>
          <w:shd w:val="clear" w:fill="FFFFFF"/>
        </w:rPr>
        <w:fldChar w:fldCharType="begin"/>
      </w:r>
      <w:r>
        <w:rPr>
          <w:rFonts w:hint="eastAsia" w:ascii="宋体" w:hAnsi="宋体" w:eastAsia="宋体" w:cs="宋体"/>
          <w:b w:val="0"/>
          <w:bCs w:val="0"/>
          <w:i w:val="0"/>
          <w:iCs w:val="0"/>
          <w:caps w:val="0"/>
          <w:color w:val="333333"/>
          <w:spacing w:val="0"/>
          <w:sz w:val="24"/>
          <w:szCs w:val="24"/>
          <w:shd w:val="clear" w:fill="FFFFFF"/>
        </w:rPr>
        <w:instrText xml:space="preserve"> HYPERLINK "http://www.gov.cn/zhengce/zhengceku/2020-07/29/content_5530869.htm" </w:instrText>
      </w:r>
      <w:r>
        <w:rPr>
          <w:rFonts w:hint="eastAsia" w:ascii="宋体" w:hAnsi="宋体" w:eastAsia="宋体" w:cs="宋体"/>
          <w:b w:val="0"/>
          <w:bCs w:val="0"/>
          <w:i w:val="0"/>
          <w:iCs w:val="0"/>
          <w:caps w:val="0"/>
          <w:color w:val="333333"/>
          <w:spacing w:val="0"/>
          <w:sz w:val="24"/>
          <w:szCs w:val="24"/>
          <w:shd w:val="clear" w:fill="FFFFFF"/>
        </w:rPr>
        <w:fldChar w:fldCharType="separate"/>
      </w:r>
      <w:r>
        <w:rPr>
          <w:rStyle w:val="16"/>
          <w:rFonts w:hint="eastAsia" w:ascii="宋体" w:hAnsi="宋体" w:eastAsia="宋体" w:cs="宋体"/>
          <w:b w:val="0"/>
          <w:bCs w:val="0"/>
          <w:i w:val="0"/>
          <w:iCs w:val="0"/>
          <w:caps w:val="0"/>
          <w:spacing w:val="0"/>
          <w:sz w:val="24"/>
          <w:szCs w:val="24"/>
          <w:shd w:val="clear" w:fill="FFFFFF"/>
        </w:rPr>
        <w:t>http://www.gov.cn/zhengce/zhengceku/2020-07/29/content_5530869.htm</w:t>
      </w:r>
      <w:r>
        <w:rPr>
          <w:rFonts w:hint="eastAsia" w:ascii="宋体" w:hAnsi="宋体" w:eastAsia="宋体" w:cs="宋体"/>
          <w:b w:val="0"/>
          <w:bCs w:val="0"/>
          <w:i w:val="0"/>
          <w:iCs w:val="0"/>
          <w:caps w:val="0"/>
          <w:color w:val="333333"/>
          <w:spacing w:val="0"/>
          <w:sz w:val="24"/>
          <w:szCs w:val="24"/>
          <w:shd w:val="clear" w:fill="FFFFFF"/>
        </w:rPr>
        <w:fldChar w:fldCharType="end"/>
      </w:r>
      <w:bookmarkStart w:id="7" w:name="_Toc29229"/>
    </w:p>
    <w:p w14:paraId="2F328AED">
      <w:pPr>
        <w:jc w:val="left"/>
        <w:rPr>
          <w:rStyle w:val="17"/>
          <w:rFonts w:hint="eastAsia" w:ascii="宋体" w:hAnsi="宋体" w:eastAsia="宋体" w:cs="宋体"/>
          <w:sz w:val="28"/>
          <w:szCs w:val="28"/>
          <w:lang w:val="en-US" w:eastAsia="zh-CN"/>
        </w:rPr>
      </w:pPr>
    </w:p>
    <w:p w14:paraId="47CE3A36">
      <w:pPr>
        <w:jc w:val="left"/>
        <w:rPr>
          <w:rStyle w:val="17"/>
          <w:rFonts w:hint="eastAsia" w:ascii="宋体" w:hAnsi="宋体" w:eastAsia="宋体" w:cs="宋体"/>
          <w:sz w:val="28"/>
          <w:szCs w:val="28"/>
          <w:lang w:val="en-US" w:eastAsia="zh-CN"/>
        </w:rPr>
      </w:pPr>
    </w:p>
    <w:p w14:paraId="71E84079">
      <w:pPr>
        <w:jc w:val="left"/>
        <w:rPr>
          <w:rStyle w:val="17"/>
          <w:rFonts w:hint="eastAsia" w:ascii="宋体" w:hAnsi="宋体" w:eastAsia="宋体" w:cs="宋体"/>
          <w:sz w:val="28"/>
          <w:szCs w:val="28"/>
          <w:lang w:val="en-US" w:eastAsia="zh-CN"/>
        </w:rPr>
      </w:pPr>
    </w:p>
    <w:p w14:paraId="380B3117">
      <w:pPr>
        <w:jc w:val="left"/>
        <w:rPr>
          <w:rStyle w:val="17"/>
          <w:rFonts w:hint="eastAsia" w:ascii="宋体" w:hAnsi="宋体" w:eastAsia="宋体" w:cs="宋体"/>
          <w:sz w:val="28"/>
          <w:szCs w:val="28"/>
          <w:lang w:val="en-US" w:eastAsia="zh-CN"/>
        </w:rPr>
      </w:pPr>
    </w:p>
    <w:p w14:paraId="161ACEA0">
      <w:pPr>
        <w:jc w:val="left"/>
        <w:rPr>
          <w:rStyle w:val="17"/>
          <w:rFonts w:hint="eastAsia" w:ascii="宋体" w:hAnsi="宋体" w:eastAsia="宋体" w:cs="宋体"/>
          <w:sz w:val="28"/>
          <w:szCs w:val="28"/>
          <w:lang w:val="en-US" w:eastAsia="zh-CN"/>
        </w:rPr>
      </w:pPr>
    </w:p>
    <w:p w14:paraId="6B912569">
      <w:pPr>
        <w:jc w:val="left"/>
        <w:rPr>
          <w:rStyle w:val="17"/>
          <w:rFonts w:hint="eastAsia" w:ascii="宋体" w:hAnsi="宋体" w:eastAsia="宋体" w:cs="宋体"/>
          <w:sz w:val="28"/>
          <w:szCs w:val="28"/>
          <w:lang w:val="en-US" w:eastAsia="zh-CN"/>
        </w:rPr>
      </w:pPr>
    </w:p>
    <w:p w14:paraId="64F9B79C">
      <w:pPr>
        <w:jc w:val="left"/>
        <w:rPr>
          <w:rStyle w:val="17"/>
          <w:rFonts w:hint="eastAsia" w:ascii="宋体" w:hAnsi="宋体" w:eastAsia="宋体" w:cs="宋体"/>
          <w:sz w:val="28"/>
          <w:szCs w:val="28"/>
          <w:lang w:val="en-US" w:eastAsia="zh-CN"/>
        </w:rPr>
      </w:pPr>
    </w:p>
    <w:p w14:paraId="29D4A879">
      <w:pPr>
        <w:jc w:val="left"/>
        <w:rPr>
          <w:rStyle w:val="17"/>
          <w:rFonts w:hint="eastAsia" w:ascii="宋体" w:hAnsi="宋体" w:eastAsia="宋体" w:cs="宋体"/>
          <w:sz w:val="28"/>
          <w:szCs w:val="28"/>
          <w:lang w:val="en-US" w:eastAsia="zh-CN"/>
        </w:rPr>
      </w:pPr>
    </w:p>
    <w:p w14:paraId="6B5E6F2D">
      <w:pPr>
        <w:jc w:val="left"/>
        <w:rPr>
          <w:rStyle w:val="17"/>
          <w:rFonts w:hint="eastAsia" w:ascii="宋体" w:hAnsi="宋体" w:eastAsia="宋体" w:cs="宋体"/>
          <w:sz w:val="28"/>
          <w:szCs w:val="28"/>
          <w:lang w:val="en-US" w:eastAsia="zh-CN"/>
        </w:rPr>
      </w:pPr>
    </w:p>
    <w:p w14:paraId="64949435">
      <w:pPr>
        <w:jc w:val="left"/>
        <w:rPr>
          <w:rStyle w:val="17"/>
          <w:rFonts w:hint="eastAsia" w:ascii="宋体" w:hAnsi="宋体" w:eastAsia="宋体" w:cs="宋体"/>
          <w:sz w:val="28"/>
          <w:szCs w:val="28"/>
          <w:lang w:val="en-US" w:eastAsia="zh-CN"/>
        </w:rPr>
      </w:pPr>
    </w:p>
    <w:p w14:paraId="756F24D1">
      <w:pPr>
        <w:jc w:val="left"/>
        <w:rPr>
          <w:rStyle w:val="17"/>
          <w:rFonts w:hint="eastAsia" w:ascii="宋体" w:hAnsi="宋体" w:eastAsia="宋体" w:cs="宋体"/>
          <w:sz w:val="28"/>
          <w:szCs w:val="28"/>
          <w:lang w:val="en-US" w:eastAsia="zh-CN"/>
        </w:rPr>
      </w:pPr>
    </w:p>
    <w:p w14:paraId="0D445D47">
      <w:pPr>
        <w:jc w:val="left"/>
        <w:rPr>
          <w:rStyle w:val="17"/>
          <w:rFonts w:hint="eastAsia" w:ascii="宋体" w:hAnsi="宋体" w:eastAsia="宋体" w:cs="宋体"/>
          <w:sz w:val="28"/>
          <w:szCs w:val="28"/>
          <w:lang w:val="en-US" w:eastAsia="zh-CN"/>
        </w:rPr>
      </w:pPr>
    </w:p>
    <w:p w14:paraId="06F9EEE6">
      <w:pPr>
        <w:jc w:val="left"/>
        <w:rPr>
          <w:rStyle w:val="17"/>
          <w:rFonts w:hint="eastAsia" w:ascii="宋体" w:hAnsi="宋体" w:eastAsia="宋体" w:cs="宋体"/>
          <w:sz w:val="28"/>
          <w:szCs w:val="28"/>
          <w:lang w:val="en-US" w:eastAsia="zh-CN"/>
        </w:rPr>
      </w:pPr>
    </w:p>
    <w:p w14:paraId="547B6927">
      <w:pPr>
        <w:jc w:val="left"/>
        <w:rPr>
          <w:rStyle w:val="17"/>
          <w:rFonts w:hint="eastAsia" w:ascii="宋体" w:hAnsi="宋体" w:eastAsia="宋体" w:cs="宋体"/>
          <w:sz w:val="28"/>
          <w:szCs w:val="28"/>
          <w:lang w:val="en-US" w:eastAsia="zh-CN"/>
        </w:rPr>
      </w:pPr>
    </w:p>
    <w:p w14:paraId="7157CBB3">
      <w:pPr>
        <w:jc w:val="left"/>
        <w:rPr>
          <w:rStyle w:val="17"/>
          <w:rFonts w:hint="eastAsia" w:ascii="宋体" w:hAnsi="宋体" w:eastAsia="宋体" w:cs="宋体"/>
          <w:sz w:val="28"/>
          <w:szCs w:val="28"/>
          <w:lang w:val="en-US" w:eastAsia="zh-CN"/>
        </w:rPr>
      </w:pPr>
    </w:p>
    <w:p w14:paraId="69E48AB4">
      <w:pPr>
        <w:jc w:val="left"/>
        <w:rPr>
          <w:rFonts w:hint="eastAsia" w:ascii="宋体" w:hAnsi="宋体" w:eastAsia="宋体" w:cs="宋体"/>
          <w:b w:val="0"/>
          <w:bCs w:val="0"/>
          <w:sz w:val="24"/>
          <w:szCs w:val="24"/>
          <w:lang w:val="en-US" w:eastAsia="zh-CN"/>
        </w:rPr>
      </w:pPr>
      <w:r>
        <w:rPr>
          <w:rStyle w:val="17"/>
          <w:rFonts w:hint="eastAsia" w:ascii="宋体" w:hAnsi="宋体" w:eastAsia="宋体" w:cs="宋体"/>
          <w:sz w:val="28"/>
          <w:szCs w:val="28"/>
          <w:lang w:val="en-US" w:eastAsia="zh-CN"/>
        </w:rPr>
        <w:t>三、密码与数字经济融合应用</w:t>
      </w:r>
      <w:r>
        <w:rPr>
          <w:rStyle w:val="17"/>
          <w:rFonts w:hint="eastAsia" w:ascii="宋体" w:hAnsi="宋体" w:eastAsia="宋体" w:cs="宋体"/>
          <w:sz w:val="28"/>
          <w:szCs w:val="28"/>
          <w:lang w:val="en-US" w:eastAsia="zh-CN"/>
        </w:rPr>
        <w:br w:type="textWrapping"/>
      </w:r>
      <w:bookmarkEnd w:id="7"/>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lang w:val="en-US" w:eastAsia="zh-CN"/>
        </w:rPr>
        <w:t>《国务院关于印发“十四五”数字经济发展规划的通知》</w:t>
      </w:r>
    </w:p>
    <w:p w14:paraId="0E15D517">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国发〔2021〕29号，成文日期为2021年12月12日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·提升网络安全应急处置能力，加强电信、金融、能源、交通运输、水利等重要行业领域关键信息基础设施网络安全防护能力，支持开展常态化安全风险评估，加强网络安全等级保护和密码应用安全性评估。</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"http://www.gov.cn/zhengce/zhengceku/2022-01/12/content_5667817.htm"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http://www.gov.cn/zhengce/zhengceku/2022-01/12/content_5667817.htm</w:t>
      </w:r>
      <w:r>
        <w:rPr>
          <w:rFonts w:hint="eastAsia" w:ascii="宋体" w:hAnsi="宋体" w:eastAsia="宋体" w:cs="宋体"/>
          <w:b w:val="0"/>
          <w:bCs w:val="0"/>
          <w:sz w:val="24"/>
          <w:szCs w:val="24"/>
          <w:lang w:val="en-US" w:eastAsia="zh-CN"/>
        </w:rPr>
        <w:fldChar w:fldCharType="end"/>
      </w:r>
    </w:p>
    <w:p w14:paraId="26AF7677">
      <w:pPr>
        <w:pStyle w:val="11"/>
        <w:keepNext w:val="0"/>
        <w:keepLines w:val="0"/>
        <w:widowControl/>
        <w:suppressLineNumbers w:val="0"/>
        <w:spacing w:before="0" w:beforeAutospacing="0" w:after="0" w:afterAutospacing="0"/>
        <w:ind w:left="0" w:right="0" w:firstLine="0"/>
        <w:rPr>
          <w:rStyle w:val="16"/>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bookmarkStart w:id="8" w:name="_Toc31891"/>
      <w:r>
        <w:rPr>
          <w:rStyle w:val="18"/>
          <w:rFonts w:hint="eastAsia" w:ascii="宋体" w:hAnsi="宋体" w:eastAsia="宋体" w:cs="宋体"/>
          <w:sz w:val="24"/>
          <w:szCs w:val="24"/>
          <w:lang w:val="en-US" w:eastAsia="zh-CN"/>
        </w:rPr>
        <w:t>（一）现代农业密码应用</w:t>
      </w:r>
      <w:r>
        <w:rPr>
          <w:rStyle w:val="18"/>
          <w:rFonts w:hint="eastAsia" w:ascii="宋体" w:hAnsi="宋体" w:eastAsia="宋体" w:cs="宋体"/>
          <w:sz w:val="24"/>
          <w:szCs w:val="24"/>
          <w:lang w:val="en-US" w:eastAsia="zh-CN"/>
        </w:rPr>
        <w:br w:type="textWrapping"/>
      </w:r>
      <w:bookmarkEnd w:id="8"/>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kern w:val="2"/>
          <w:sz w:val="24"/>
          <w:szCs w:val="24"/>
          <w:lang w:val="en-US" w:eastAsia="zh-CN" w:bidi="ar-SA"/>
        </w:rPr>
        <w:t>《农业农村部关于印发＜“十四五”全国农业农村信息化发展规划＞的通知》</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农市发〔2022</w:t>
      </w:r>
      <w:r>
        <w:rPr>
          <w:rFonts w:hint="eastAsia" w:ascii="宋体" w:hAnsi="宋体" w:eastAsia="宋体" w:cs="宋体"/>
          <w:b w:val="0"/>
          <w:bCs w:val="0"/>
          <w:sz w:val="24"/>
          <w:szCs w:val="24"/>
          <w:lang w:val="en-US" w:eastAsia="zh-CN"/>
        </w:rPr>
        <w:t>〕</w:t>
      </w:r>
      <w:r>
        <w:rPr>
          <w:rFonts w:hint="eastAsia" w:ascii="宋体" w:hAnsi="宋体" w:eastAsia="宋体" w:cs="宋体"/>
          <w:b w:val="0"/>
          <w:bCs w:val="0"/>
          <w:kern w:val="2"/>
          <w:sz w:val="24"/>
          <w:szCs w:val="24"/>
          <w:lang w:val="en-US" w:eastAsia="zh-CN" w:bidi="ar-SA"/>
        </w:rPr>
        <w:t>4号，成文日期为2022年2月22日</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　　·安全可控，有序推进。坚持发展和安全并重，强化网络安全和数据安全保障能力，守住安全底线，全面提升发展的持续性和稳定性。坚持数量服从质量、进度服从实效、求好不求快，科学规划、试点先行，因地制宜推进农业农村信息化建设。</w:t>
      </w:r>
      <w:r>
        <w:rPr>
          <w:rFonts w:hint="eastAsia" w:ascii="宋体" w:hAnsi="宋体" w:eastAsia="宋体" w:cs="宋体"/>
          <w:b w:val="0"/>
          <w:bCs w:val="0"/>
          <w:sz w:val="24"/>
          <w:szCs w:val="24"/>
          <w:lang w:val="en-US" w:eastAsia="zh-CN"/>
        </w:rPr>
        <w:br w:type="textWrapping"/>
      </w:r>
      <w:r>
        <w:rPr>
          <w:rStyle w:val="16"/>
          <w:rFonts w:hint="eastAsia" w:ascii="宋体" w:hAnsi="宋体" w:eastAsia="宋体" w:cs="宋体"/>
          <w:b w:val="0"/>
          <w:bCs w:val="0"/>
          <w:kern w:val="2"/>
          <w:sz w:val="24"/>
          <w:szCs w:val="24"/>
          <w:lang w:val="en-US" w:eastAsia="zh-CN" w:bidi="ar-SA"/>
        </w:rPr>
        <w:fldChar w:fldCharType="begin"/>
      </w:r>
      <w:r>
        <w:rPr>
          <w:rStyle w:val="16"/>
          <w:rFonts w:hint="eastAsia" w:ascii="宋体" w:hAnsi="宋体" w:eastAsia="宋体" w:cs="宋体"/>
          <w:b w:val="0"/>
          <w:bCs w:val="0"/>
          <w:kern w:val="2"/>
          <w:sz w:val="24"/>
          <w:szCs w:val="24"/>
          <w:lang w:val="en-US" w:eastAsia="zh-CN" w:bidi="ar-SA"/>
        </w:rPr>
        <w:instrText xml:space="preserve"> HYPERLINK "http://www.moa.gov.cn/nybgb/2022/202204/202206/t20220607_6401745.htm" </w:instrText>
      </w:r>
      <w:r>
        <w:rPr>
          <w:rStyle w:val="16"/>
          <w:rFonts w:hint="eastAsia" w:ascii="宋体" w:hAnsi="宋体" w:eastAsia="宋体" w:cs="宋体"/>
          <w:b w:val="0"/>
          <w:bCs w:val="0"/>
          <w:kern w:val="2"/>
          <w:sz w:val="24"/>
          <w:szCs w:val="24"/>
          <w:lang w:val="en-US" w:eastAsia="zh-CN" w:bidi="ar-SA"/>
        </w:rPr>
        <w:fldChar w:fldCharType="separate"/>
      </w:r>
      <w:r>
        <w:rPr>
          <w:rStyle w:val="15"/>
          <w:rFonts w:hint="eastAsia" w:ascii="宋体" w:hAnsi="宋体" w:eastAsia="宋体" w:cs="宋体"/>
          <w:b w:val="0"/>
          <w:bCs w:val="0"/>
          <w:kern w:val="2"/>
          <w:sz w:val="24"/>
          <w:szCs w:val="24"/>
          <w:lang w:val="en-US" w:eastAsia="zh-CN" w:bidi="ar-SA"/>
        </w:rPr>
        <w:t>http://www.moa.gov.cn/nybgb/2022/202204/202206/t20220607_6401745.htm</w:t>
      </w:r>
      <w:r>
        <w:rPr>
          <w:rStyle w:val="16"/>
          <w:rFonts w:hint="eastAsia" w:ascii="宋体" w:hAnsi="宋体" w:eastAsia="宋体" w:cs="宋体"/>
          <w:b w:val="0"/>
          <w:bCs w:val="0"/>
          <w:kern w:val="2"/>
          <w:sz w:val="24"/>
          <w:szCs w:val="24"/>
          <w:lang w:val="en-US" w:eastAsia="zh-CN" w:bidi="ar-SA"/>
        </w:rPr>
        <w:fldChar w:fldCharType="end"/>
      </w:r>
    </w:p>
    <w:p w14:paraId="0B5E4293">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sz w:val="24"/>
          <w:szCs w:val="24"/>
          <w:shd w:val="clear" w:color="auto" w:fill="auto"/>
          <w:lang w:val="en-US" w:eastAsia="zh-CN"/>
        </w:rPr>
      </w:pP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bookmarkStart w:id="9" w:name="_Toc28771"/>
      <w:r>
        <w:rPr>
          <w:rStyle w:val="18"/>
          <w:rFonts w:hint="eastAsia" w:ascii="宋体" w:hAnsi="宋体" w:eastAsia="宋体" w:cs="宋体"/>
          <w:sz w:val="24"/>
          <w:szCs w:val="24"/>
          <w:lang w:val="en-US" w:eastAsia="zh-CN"/>
        </w:rPr>
        <w:t>（二）先进制造业密码应用</w:t>
      </w:r>
      <w:r>
        <w:rPr>
          <w:rStyle w:val="18"/>
          <w:rFonts w:hint="eastAsia" w:ascii="宋体" w:hAnsi="宋体" w:eastAsia="宋体" w:cs="宋体"/>
          <w:sz w:val="24"/>
          <w:szCs w:val="24"/>
          <w:lang w:val="en-US" w:eastAsia="zh-CN"/>
        </w:rPr>
        <w:br w:type="textWrapping"/>
      </w:r>
      <w:bookmarkEnd w:id="9"/>
    </w:p>
    <w:p w14:paraId="067FDADF">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sz w:val="24"/>
          <w:szCs w:val="24"/>
          <w:shd w:val="clear" w:color="auto" w:fill="auto"/>
          <w:lang w:val="en-US" w:eastAsia="zh-CN"/>
        </w:rPr>
      </w:pPr>
      <w:r>
        <w:rPr>
          <w:rFonts w:hint="eastAsia" w:ascii="宋体" w:hAnsi="宋体" w:eastAsia="宋体" w:cs="宋体"/>
          <w:b w:val="0"/>
          <w:bCs w:val="0"/>
          <w:sz w:val="24"/>
          <w:szCs w:val="24"/>
          <w:shd w:val="clear" w:color="auto" w:fill="auto"/>
          <w:lang w:val="en-US" w:eastAsia="zh-CN"/>
        </w:rPr>
        <w:t>《工业和信息化部关于印发工业控制系统网络安全防护指南的通知》</w:t>
      </w:r>
    </w:p>
    <w:p w14:paraId="4937719B">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sz w:val="24"/>
          <w:szCs w:val="24"/>
          <w:shd w:val="clear" w:color="auto" w:fill="auto"/>
          <w:lang w:val="en-US" w:eastAsia="zh-CN"/>
        </w:rPr>
      </w:pPr>
      <w:r>
        <w:rPr>
          <w:rFonts w:hint="eastAsia" w:ascii="宋体" w:hAnsi="宋体" w:eastAsia="宋体" w:cs="宋体"/>
          <w:b w:val="0"/>
          <w:bCs w:val="0"/>
          <w:sz w:val="24"/>
          <w:szCs w:val="24"/>
          <w:shd w:val="clear" w:color="auto" w:fill="auto"/>
          <w:lang w:val="en-US" w:eastAsia="zh-CN"/>
        </w:rPr>
        <w:t>工信部网安〔2024〕14号，</w:t>
      </w:r>
      <w:r>
        <w:rPr>
          <w:rFonts w:hint="eastAsia" w:ascii="宋体" w:hAnsi="宋体" w:eastAsia="宋体" w:cs="宋体"/>
          <w:b w:val="0"/>
          <w:bCs w:val="0"/>
          <w:kern w:val="2"/>
          <w:sz w:val="24"/>
          <w:szCs w:val="24"/>
          <w:lang w:val="en-US" w:eastAsia="zh-CN" w:bidi="ar-SA"/>
        </w:rPr>
        <w:t>成文日期为</w:t>
      </w:r>
      <w:r>
        <w:rPr>
          <w:rFonts w:hint="eastAsia" w:ascii="宋体" w:hAnsi="宋体" w:eastAsia="宋体" w:cs="宋体"/>
          <w:b w:val="0"/>
          <w:bCs w:val="0"/>
          <w:kern w:val="2"/>
          <w:sz w:val="24"/>
          <w:szCs w:val="24"/>
          <w:lang w:val="en-US" w:eastAsia="zh-CN" w:bidi="ar-SA"/>
        </w:rPr>
        <w:tab/>
      </w:r>
      <w:r>
        <w:rPr>
          <w:rFonts w:hint="eastAsia" w:ascii="宋体" w:hAnsi="宋体" w:eastAsia="宋体" w:cs="宋体"/>
          <w:b w:val="0"/>
          <w:bCs w:val="0"/>
          <w:kern w:val="2"/>
          <w:sz w:val="24"/>
          <w:szCs w:val="24"/>
          <w:lang w:val="en-US" w:eastAsia="zh-CN" w:bidi="ar-SA"/>
        </w:rPr>
        <w:t>2024年1月19日</w:t>
      </w:r>
    </w:p>
    <w:p w14:paraId="2B561F85">
      <w:pPr>
        <w:pStyle w:val="11"/>
        <w:keepNext w:val="0"/>
        <w:keepLines w:val="0"/>
        <w:widowControl/>
        <w:suppressLineNumbers w:val="0"/>
        <w:spacing w:before="0" w:beforeAutospacing="0" w:after="0" w:afterAutospacing="0"/>
        <w:ind w:left="0" w:right="0" w:firstLine="0"/>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b w:val="0"/>
          <w:bCs w:val="0"/>
          <w:kern w:val="2"/>
          <w:sz w:val="24"/>
          <w:szCs w:val="24"/>
          <w:lang w:val="en-US" w:eastAsia="zh-CN" w:bidi="ar-SA"/>
        </w:rPr>
        <w:t>　　·</w:t>
      </w:r>
      <w:r>
        <w:rPr>
          <w:rFonts w:hint="eastAsia" w:ascii="宋体" w:hAnsi="宋体" w:eastAsia="宋体" w:cs="宋体"/>
          <w:i w:val="0"/>
          <w:iCs w:val="0"/>
          <w:caps w:val="0"/>
          <w:color w:val="333333"/>
          <w:spacing w:val="0"/>
          <w:sz w:val="24"/>
          <w:szCs w:val="24"/>
          <w:shd w:val="clear" w:fill="FFFFFF"/>
        </w:rPr>
        <w:t>在工业控制系统中使用加密协议和算法时应符合相关法律法规要求，鼓励优先采用商用密码，实现加密网络通信、设备身份认证和数据安全传输。</w:t>
      </w:r>
    </w:p>
    <w:p w14:paraId="58A50541">
      <w:pPr>
        <w:pStyle w:val="11"/>
        <w:keepNext w:val="0"/>
        <w:keepLines w:val="0"/>
        <w:widowControl/>
        <w:suppressLineNumbers w:val="0"/>
        <w:spacing w:before="0" w:beforeAutospacing="0" w:after="0" w:afterAutospacing="0"/>
        <w:ind w:left="0" w:right="0" w:firstLine="0"/>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b w:val="0"/>
          <w:bCs w:val="0"/>
          <w:kern w:val="2"/>
          <w:sz w:val="24"/>
          <w:szCs w:val="24"/>
          <w:lang w:val="en-US" w:eastAsia="zh-CN" w:bidi="ar-SA"/>
        </w:rPr>
        <w:t>　　·</w:t>
      </w:r>
      <w:r>
        <w:rPr>
          <w:rFonts w:hint="eastAsia" w:ascii="宋体" w:hAnsi="宋体" w:eastAsia="宋体" w:cs="宋体"/>
          <w:i w:val="0"/>
          <w:iCs w:val="0"/>
          <w:caps w:val="0"/>
          <w:color w:val="333333"/>
          <w:spacing w:val="0"/>
          <w:sz w:val="24"/>
          <w:szCs w:val="24"/>
          <w:shd w:val="clear" w:fill="FFFFFF"/>
        </w:rPr>
        <w:t>定期梳理工业控制系统运行产生的数据，结合业务实际，开展数据分类分级，识别重要数据和核心数据并形成目录。围绕数据收集、存储、使用、加工、传输、提供、公开等环节，使用密码技术、访问控制、容灾备份等技术对数据实施安全保护。</w:t>
      </w:r>
    </w:p>
    <w:p w14:paraId="0D22E1CA">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sz w:val="24"/>
          <w:szCs w:val="24"/>
          <w:shd w:val="clear" w:color="auto" w:fill="auto"/>
          <w:lang w:val="en-US" w:eastAsia="zh-CN"/>
        </w:rPr>
      </w:pPr>
      <w:r>
        <w:rPr>
          <w:rFonts w:hint="eastAsia" w:ascii="宋体" w:hAnsi="宋体" w:eastAsia="宋体" w:cs="宋体"/>
          <w:b w:val="0"/>
          <w:bCs w:val="0"/>
          <w:sz w:val="24"/>
          <w:szCs w:val="24"/>
          <w:shd w:val="clear" w:color="auto" w:fill="auto"/>
          <w:lang w:val="en-US" w:eastAsia="zh-CN"/>
        </w:rPr>
        <w:fldChar w:fldCharType="begin"/>
      </w:r>
      <w:r>
        <w:rPr>
          <w:rFonts w:hint="eastAsia" w:ascii="宋体" w:hAnsi="宋体" w:eastAsia="宋体" w:cs="宋体"/>
          <w:b w:val="0"/>
          <w:bCs w:val="0"/>
          <w:sz w:val="24"/>
          <w:szCs w:val="24"/>
          <w:shd w:val="clear" w:color="auto" w:fill="auto"/>
          <w:lang w:val="en-US" w:eastAsia="zh-CN"/>
        </w:rPr>
        <w:instrText xml:space="preserve"> HYPERLINK "https://www.gov.cn/zhengce/zhengceku/202402/content_6929643.htm" </w:instrText>
      </w:r>
      <w:r>
        <w:rPr>
          <w:rFonts w:hint="eastAsia" w:ascii="宋体" w:hAnsi="宋体" w:eastAsia="宋体" w:cs="宋体"/>
          <w:b w:val="0"/>
          <w:bCs w:val="0"/>
          <w:sz w:val="24"/>
          <w:szCs w:val="24"/>
          <w:shd w:val="clear" w:color="auto" w:fill="auto"/>
          <w:lang w:val="en-US" w:eastAsia="zh-CN"/>
        </w:rPr>
        <w:fldChar w:fldCharType="separate"/>
      </w:r>
      <w:r>
        <w:rPr>
          <w:rStyle w:val="16"/>
          <w:rFonts w:hint="eastAsia" w:ascii="宋体" w:hAnsi="宋体" w:eastAsia="宋体" w:cs="宋体"/>
          <w:b w:val="0"/>
          <w:bCs w:val="0"/>
          <w:sz w:val="24"/>
          <w:szCs w:val="24"/>
          <w:shd w:val="clear" w:color="auto" w:fill="auto"/>
          <w:lang w:val="en-US" w:eastAsia="zh-CN"/>
        </w:rPr>
        <w:t>https://www.gov.cn/zhengce/zhengceku/202402/content_6929643.htm</w:t>
      </w:r>
      <w:r>
        <w:rPr>
          <w:rFonts w:hint="eastAsia" w:ascii="宋体" w:hAnsi="宋体" w:eastAsia="宋体" w:cs="宋体"/>
          <w:b w:val="0"/>
          <w:bCs w:val="0"/>
          <w:sz w:val="24"/>
          <w:szCs w:val="24"/>
          <w:shd w:val="clear" w:color="auto" w:fill="auto"/>
          <w:lang w:val="en-US" w:eastAsia="zh-CN"/>
        </w:rPr>
        <w:fldChar w:fldCharType="end"/>
      </w:r>
    </w:p>
    <w:p w14:paraId="113A4EFC">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sz w:val="24"/>
          <w:szCs w:val="24"/>
          <w:shd w:val="clear" w:color="FFFFFF" w:fill="D9D9D9"/>
          <w:lang w:val="en-US" w:eastAsia="zh-CN"/>
        </w:rPr>
      </w:pPr>
    </w:p>
    <w:p w14:paraId="080D4984">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sz w:val="24"/>
          <w:szCs w:val="24"/>
          <w:shd w:val="clear" w:color="FFFFFF" w:fill="D9D9D9"/>
          <w:lang w:val="en-US" w:eastAsia="zh-CN"/>
        </w:rPr>
      </w:pPr>
    </w:p>
    <w:p w14:paraId="6A995158">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《工业和信息化部 国家发展和改革委员会 生态环境部关于促进钢铁工业高质量发展的指导意见》</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工信部联原〔2022〕6号，成文日期为2022年1月20日</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　　·大力发展智能制造。开展钢铁行业智能制造行动计划，推进5G、工业互联网、人工智能、商用密码、数字孪生等技术在钢铁行业的应用。</w:t>
      </w:r>
    </w:p>
    <w:p w14:paraId="6F57D5E5">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sz w:val="24"/>
          <w:szCs w:val="24"/>
          <w:lang w:val="en-US" w:eastAsia="zh-CN"/>
        </w:rPr>
      </w:pPr>
      <w:r>
        <w:rPr>
          <w:rFonts w:hint="eastAsia" w:ascii="宋体" w:hAnsi="宋体" w:eastAsia="宋体" w:cs="宋体"/>
          <w:b w:val="0"/>
          <w:bCs w:val="0"/>
          <w:kern w:val="2"/>
          <w:sz w:val="24"/>
          <w:szCs w:val="24"/>
          <w:lang w:val="en-US" w:eastAsia="zh-CN" w:bidi="ar-SA"/>
        </w:rPr>
        <w:t>　　·落实网络安全主体责任，大力提高商用密码应用安全，提升工业控制系统安全防护水平，制定应急响应预案，积极应对新兴技术融合带来的安全挑战。</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"http://www.gov.cn/zhengce/zhengceku/2022-02/08/content_5672513.htm"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http://www.gov.cn/zhengce/zhengceku/2022-02/08/content_5672513.htm</w:t>
      </w:r>
      <w:r>
        <w:rPr>
          <w:rFonts w:hint="eastAsia" w:ascii="宋体" w:hAnsi="宋体" w:eastAsia="宋体" w:cs="宋体"/>
          <w:b w:val="0"/>
          <w:bCs w:val="0"/>
          <w:sz w:val="24"/>
          <w:szCs w:val="24"/>
          <w:lang w:val="en-US" w:eastAsia="zh-CN"/>
        </w:rPr>
        <w:fldChar w:fldCharType="end"/>
      </w:r>
    </w:p>
    <w:p w14:paraId="4CE67B90">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《工业和信息化部 科技部 自然资源部关于印发“十四五”原材料工业发展规划的通知》</w:t>
      </w:r>
    </w:p>
    <w:p w14:paraId="50485C4E">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工信部联规〔2021〕212号，成文日期为2021年12月21日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·深化实施原材料生产企业工业互联网网络安全分类分级管理，推动商用密码技术应用，提升重点行业企业工业互联网安全防护能力。</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"http://www.gov.cn/zhengce/zhengceku/2021-12/29/content_5665166.htm"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http://www.gov.cn/zhengce/zhengceku/2021-12/29/content_5665166.htm</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p>
    <w:p w14:paraId="6CCE4EC1">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《工业和信息化部 国家发展和改革委员会 教育部 科技部 财政部 人力资源和社会保障部 国家市场监督管理总局 国务院国有资产监督管理委员会关于印发＜“十四五”智能制造发展规划＞的通知》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工信部联规〔2021〕207号，成文日期为2021年12月21日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·加强安全保障。加强智能制造安全风险研判，同步推进网 络安全、数据安全和功能安全，推动密码技术深入应用。实施 企业网络安全分类分级管理，督促企业落实网络安全主体责 13 任。完善国家、地方、企业多级工控信息安全监测预警网络， 加快建设工业互联网安全技术监测服务体系。</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"http://www.gov.cn/zhengce/zhengceku/2021-12/28/content_5664996.htm"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http://www.gov.cn/zhengce/zhengceku/2021-12/28/content_5664996.htm</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p>
    <w:p w14:paraId="0953510F">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《工业和信息化部关于发布“十四五”民用爆炸物品行业安全发展规划的通知》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工信部规〔2021〕183号，成文日期为2021年11月15日</w:t>
      </w:r>
    </w:p>
    <w:p w14:paraId="5D19FA55">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·探索建立民爆行业智能制造标准体系，与民爆产品、安全等标准优化协同，形成面向 智能制造典型应用场景的标准群，在行业内开展应用试点。协同推进网络安全、信息安全和功能安全，加强商用密码在数字化智能化生产、仓储、运输体系中的应用，充分发挥基础保障作用。</w:t>
      </w:r>
    </w:p>
    <w:p w14:paraId="18F44FF3">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"http://www.gov.cn/zhengce/zhengceku/2021-12/04/content_5655830.htm"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http://www.gov.cn/zhengce/zhengceku/2021-12/04/content_5655830.htm</w:t>
      </w:r>
      <w:r>
        <w:rPr>
          <w:rFonts w:hint="eastAsia" w:ascii="宋体" w:hAnsi="宋体" w:eastAsia="宋体" w:cs="宋体"/>
          <w:b w:val="0"/>
          <w:bCs w:val="0"/>
          <w:sz w:val="24"/>
          <w:szCs w:val="24"/>
          <w:lang w:val="en-US" w:eastAsia="zh-CN"/>
        </w:rPr>
        <w:fldChar w:fldCharType="end"/>
      </w:r>
    </w:p>
    <w:p w14:paraId="7B5BAD71">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《国务院办公厅关于印发新能源汽车产业发展规划（2021—2035年）的通知》</w:t>
      </w:r>
    </w:p>
    <w:p w14:paraId="3CE162D5">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国办发〔2020〕39号，成文日期为2020年10月20日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打造网络安全保障体系。健全新能源汽车网络安全管理制度，构建统一的汽车身份认证和安全信任体系，推动密码技术深入应用，加强车载信息系统、服务平台及关键电子零部件安全检测，强化新能源汽车数据分级分类和合规应用管理，完善风险评估、预警监测、应急响应机制，保障“车端—传输管网—云端”各环节信息安全。</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"http://www.gov.cn/zhengce/zhengceku/2020-11/02/content_5556716.htm"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http://www.gov.cn/zhengce/zhengceku/2020-11/02/content_5556716.htm</w:t>
      </w:r>
      <w:r>
        <w:rPr>
          <w:rFonts w:hint="eastAsia" w:ascii="宋体" w:hAnsi="宋体" w:eastAsia="宋体" w:cs="宋体"/>
          <w:b w:val="0"/>
          <w:bCs w:val="0"/>
          <w:sz w:val="24"/>
          <w:szCs w:val="24"/>
          <w:lang w:val="en-US" w:eastAsia="zh-CN"/>
        </w:rPr>
        <w:fldChar w:fldCharType="end"/>
      </w:r>
    </w:p>
    <w:p w14:paraId="667D602F">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《工业和信息化部办公厅关于印发＜建材工业智能制造数字转型行动计划（2021-2023年）＞的通知》</w:t>
      </w:r>
    </w:p>
    <w:p w14:paraId="426149E6">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工信厅原〔2020〕39号,成文日期为2020年9月16日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构建网络、平台、安全三大功能体系，鼓励企业积极探索“5G+工业互联网”，促进工业互联网与建材工业深度融合。推动建材行业工业互联网标识解析二级节点建设，深化标识解析应用。大力发展建材行业工业互联网创新应用平台，加快开发建材工业APP，推动建材企业和设备上云上平台，实现制造资源和制造能力互联互通。构建工业互联网密码支撑体系，加快商用密码在建材行业深度应用。</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"http://www.gov.cn/zhengce/zhengceku/2020-09/21/content_5545222.htm"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http://www.gov.cn/zhengce/zhengceku/2020-09/21/content_5545222.htm</w:t>
      </w:r>
      <w:r>
        <w:rPr>
          <w:rFonts w:hint="eastAsia" w:ascii="宋体" w:hAnsi="宋体" w:eastAsia="宋体" w:cs="宋体"/>
          <w:b w:val="0"/>
          <w:bCs w:val="0"/>
          <w:sz w:val="24"/>
          <w:szCs w:val="24"/>
          <w:lang w:val="en-US" w:eastAsia="zh-CN"/>
        </w:rPr>
        <w:fldChar w:fldCharType="end"/>
      </w:r>
    </w:p>
    <w:p w14:paraId="16B760A8">
      <w:pPr>
        <w:numPr>
          <w:ilvl w:val="0"/>
          <w:numId w:val="0"/>
        </w:numPr>
        <w:jc w:val="left"/>
        <w:rPr>
          <w:rFonts w:hint="eastAsia" w:ascii="宋体" w:hAnsi="宋体" w:eastAsia="宋体" w:cs="宋体"/>
          <w:b w:val="0"/>
          <w:bCs w:val="0"/>
          <w:sz w:val="24"/>
          <w:szCs w:val="24"/>
          <w:shd w:val="clear" w:color="auto" w:fill="auto"/>
          <w:lang w:val="en-US" w:eastAsia="zh-CN"/>
        </w:rPr>
      </w:pP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shd w:val="clear" w:color="auto" w:fill="auto"/>
          <w:lang w:val="en-US" w:eastAsia="zh-CN"/>
        </w:rPr>
        <w:t>《工业和信息化部关于工业大数据发展的指导意见》</w:t>
      </w:r>
    </w:p>
    <w:p w14:paraId="01D50D25">
      <w:pPr>
        <w:numPr>
          <w:ilvl w:val="0"/>
          <w:numId w:val="0"/>
        </w:numPr>
        <w:ind w:left="480" w:hanging="480" w:hangingChars="20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b w:val="0"/>
          <w:bCs w:val="0"/>
          <w:sz w:val="24"/>
          <w:szCs w:val="24"/>
          <w:lang w:val="en-US" w:eastAsia="zh-CN"/>
        </w:rPr>
        <w:t>工信部信发〔2020〕67号，成文日期为</w:t>
      </w:r>
      <w:r>
        <w:rPr>
          <w:rFonts w:hint="eastAsia" w:ascii="宋体" w:hAnsi="宋体" w:eastAsia="宋体" w:cs="宋体"/>
          <w:i w:val="0"/>
          <w:iCs w:val="0"/>
          <w:caps w:val="0"/>
          <w:color w:val="333333"/>
          <w:spacing w:val="0"/>
          <w:sz w:val="24"/>
          <w:szCs w:val="24"/>
          <w:shd w:val="clear" w:fill="FFFFFF"/>
        </w:rPr>
        <w:t>2020年4月28日</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六、强化数据安全</w:t>
      </w:r>
    </w:p>
    <w:p w14:paraId="6204884E">
      <w:pPr>
        <w:numPr>
          <w:numId w:val="0"/>
        </w:numPr>
        <w:ind w:firstLine="480" w:firstLineChars="200"/>
        <w:jc w:val="left"/>
        <w:rPr>
          <w:rFonts w:hint="eastAsia" w:ascii="宋体" w:hAnsi="宋体" w:eastAsia="宋体" w:cs="宋体"/>
          <w:b w:val="0"/>
          <w:bCs w:val="0"/>
          <w:sz w:val="24"/>
          <w:szCs w:val="24"/>
          <w:shd w:val="clear" w:color="FFFFFF" w:fill="D9D9D9"/>
          <w:lang w:val="en-US"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十五</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加强工业数据安全产品研发。开展加密传输、访问控制、数据脱敏等安全技术攻关，提升防篡改、防窃取、防泄漏能力。加快培育安全骨干企业，增强数据安全服务，培育良好安全产业生态。</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"https://www.gov.cn/gongbao/content/2020/content_5530364.htm" </w:instrText>
      </w:r>
      <w:r>
        <w:rPr>
          <w:rFonts w:hint="eastAsia" w:ascii="宋体" w:hAnsi="宋体" w:eastAsia="宋体" w:cs="宋体"/>
          <w:i w:val="0"/>
          <w:iCs w:val="0"/>
          <w:caps w:val="0"/>
          <w:color w:val="333333"/>
          <w:spacing w:val="0"/>
          <w:sz w:val="24"/>
          <w:szCs w:val="24"/>
          <w:shd w:val="clear" w:fill="FFFFFF"/>
        </w:rPr>
        <w:fldChar w:fldCharType="separate"/>
      </w:r>
      <w:r>
        <w:rPr>
          <w:rStyle w:val="16"/>
          <w:rFonts w:hint="eastAsia" w:ascii="宋体" w:hAnsi="宋体" w:eastAsia="宋体" w:cs="宋体"/>
          <w:i w:val="0"/>
          <w:iCs w:val="0"/>
          <w:caps w:val="0"/>
          <w:spacing w:val="0"/>
          <w:sz w:val="24"/>
          <w:szCs w:val="24"/>
          <w:shd w:val="clear" w:fill="FFFFFF"/>
        </w:rPr>
        <w:t>https://www.gov.cn/gongbao/content/2020/content_5530364.htm</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b w:val="0"/>
          <w:bCs w:val="0"/>
          <w:sz w:val="24"/>
          <w:szCs w:val="24"/>
          <w:lang w:val="en-US" w:eastAsia="zh-CN"/>
        </w:rPr>
        <w:br w:type="textWrapping"/>
      </w:r>
    </w:p>
    <w:p w14:paraId="788F7A8D">
      <w:pPr>
        <w:jc w:val="left"/>
        <w:rPr>
          <w:rFonts w:hint="eastAsia" w:ascii="宋体" w:hAnsi="宋体" w:eastAsia="宋体" w:cs="宋体"/>
          <w:b w:val="0"/>
          <w:bCs w:val="0"/>
          <w:sz w:val="24"/>
          <w:szCs w:val="24"/>
          <w:lang w:val="en-US" w:eastAsia="zh-CN"/>
        </w:rPr>
      </w:pPr>
      <w:bookmarkStart w:id="10" w:name="_Toc17564"/>
      <w:r>
        <w:rPr>
          <w:rStyle w:val="18"/>
          <w:rFonts w:hint="eastAsia" w:ascii="宋体" w:hAnsi="宋体" w:eastAsia="宋体" w:cs="宋体"/>
          <w:sz w:val="24"/>
          <w:szCs w:val="24"/>
          <w:lang w:val="en-US" w:eastAsia="zh-CN"/>
        </w:rPr>
        <w:t>（三）现代服务业及新兴产业密码应用</w:t>
      </w:r>
      <w:r>
        <w:rPr>
          <w:rStyle w:val="18"/>
          <w:rFonts w:hint="eastAsia" w:ascii="宋体" w:hAnsi="宋体" w:eastAsia="宋体" w:cs="宋体"/>
          <w:sz w:val="24"/>
          <w:szCs w:val="24"/>
          <w:lang w:val="en-US" w:eastAsia="zh-CN"/>
        </w:rPr>
        <w:br w:type="textWrapping"/>
      </w:r>
      <w:bookmarkEnd w:id="10"/>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lang w:val="en-US" w:eastAsia="zh-CN"/>
        </w:rPr>
        <w:t>《财政部关于印发＜会计软件基本功能和服务规范＞的通知》</w:t>
      </w:r>
    </w:p>
    <w:p w14:paraId="0E8FE90C">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财会〔2024〕12号，</w:t>
      </w:r>
      <w:r>
        <w:rPr>
          <w:rFonts w:hint="eastAsia" w:ascii="宋体" w:hAnsi="宋体" w:eastAsia="宋体" w:cs="宋体"/>
          <w:i w:val="0"/>
          <w:iCs w:val="0"/>
          <w:caps w:val="0"/>
          <w:color w:val="333333"/>
          <w:spacing w:val="0"/>
          <w:sz w:val="24"/>
          <w:szCs w:val="24"/>
          <w:shd w:val="clear" w:fill="FFFFFF"/>
        </w:rPr>
        <w:t>自2025年1月1日起施行</w:t>
      </w:r>
      <w:r>
        <w:rPr>
          <w:rFonts w:hint="eastAsia" w:ascii="宋体" w:hAnsi="宋体" w:eastAsia="宋体" w:cs="宋体"/>
          <w:b w:val="0"/>
          <w:bCs w:val="0"/>
          <w:sz w:val="24"/>
          <w:szCs w:val="24"/>
          <w:lang w:val="en-US" w:eastAsia="zh-CN"/>
        </w:rPr>
        <w:t>  </w:t>
      </w:r>
    </w:p>
    <w:p w14:paraId="2B7D6FAA">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第三十七条　会计软件采用密码技术的，应当遵循国家密码主管部门的有关规定。</w:t>
      </w:r>
    </w:p>
    <w:p w14:paraId="306D7B56">
      <w:pPr>
        <w:jc w:val="left"/>
        <w:rPr>
          <w:rFonts w:hint="eastAsia" w:ascii="宋体" w:hAnsi="宋体" w:eastAsia="宋体" w:cs="宋体"/>
          <w:b w:val="0"/>
          <w:bCs w:val="0"/>
          <w:sz w:val="24"/>
          <w:szCs w:val="24"/>
          <w:shd w:val="clear" w:color="auto" w:fill="auto"/>
          <w:lang w:val="en-US" w:eastAsia="zh-CN"/>
        </w:rPr>
      </w:pPr>
      <w:r>
        <w:rPr>
          <w:rFonts w:hint="eastAsia" w:ascii="宋体" w:hAnsi="宋体" w:eastAsia="宋体" w:cs="宋体"/>
          <w:b w:val="0"/>
          <w:bCs w:val="0"/>
          <w:sz w:val="24"/>
          <w:szCs w:val="24"/>
          <w:shd w:val="clear" w:color="auto" w:fill="auto"/>
          <w:lang w:val="en-US" w:eastAsia="zh-CN"/>
        </w:rPr>
        <w:fldChar w:fldCharType="begin"/>
      </w:r>
      <w:r>
        <w:rPr>
          <w:rFonts w:hint="eastAsia" w:ascii="宋体" w:hAnsi="宋体" w:eastAsia="宋体" w:cs="宋体"/>
          <w:b w:val="0"/>
          <w:bCs w:val="0"/>
          <w:sz w:val="24"/>
          <w:szCs w:val="24"/>
          <w:shd w:val="clear" w:color="auto" w:fill="auto"/>
          <w:lang w:val="en-US" w:eastAsia="zh-CN"/>
        </w:rPr>
        <w:instrText xml:space="preserve"> HYPERLINK "https://www.gov.cn/gongbao/2024/issue_11606/202409/content_6976924.html" </w:instrText>
      </w:r>
      <w:r>
        <w:rPr>
          <w:rFonts w:hint="eastAsia" w:ascii="宋体" w:hAnsi="宋体" w:eastAsia="宋体" w:cs="宋体"/>
          <w:b w:val="0"/>
          <w:bCs w:val="0"/>
          <w:sz w:val="24"/>
          <w:szCs w:val="24"/>
          <w:shd w:val="clear" w:color="auto" w:fill="auto"/>
          <w:lang w:val="en-US" w:eastAsia="zh-CN"/>
        </w:rPr>
        <w:fldChar w:fldCharType="separate"/>
      </w:r>
      <w:r>
        <w:rPr>
          <w:rStyle w:val="15"/>
          <w:rFonts w:hint="eastAsia" w:ascii="宋体" w:hAnsi="宋体" w:eastAsia="宋体" w:cs="宋体"/>
          <w:b w:val="0"/>
          <w:bCs w:val="0"/>
          <w:sz w:val="24"/>
          <w:szCs w:val="24"/>
          <w:shd w:val="clear" w:color="auto" w:fill="auto"/>
          <w:lang w:val="en-US" w:eastAsia="zh-CN"/>
        </w:rPr>
        <w:t>https://www.gov.cn/gongbao/2024/issue_11606/202409/content_6976924.html</w:t>
      </w:r>
      <w:r>
        <w:rPr>
          <w:rFonts w:hint="eastAsia" w:ascii="宋体" w:hAnsi="宋体" w:eastAsia="宋体" w:cs="宋体"/>
          <w:b w:val="0"/>
          <w:bCs w:val="0"/>
          <w:sz w:val="24"/>
          <w:szCs w:val="24"/>
          <w:shd w:val="clear" w:color="auto" w:fill="auto"/>
          <w:lang w:val="en-US" w:eastAsia="zh-CN"/>
        </w:rPr>
        <w:fldChar w:fldCharType="end"/>
      </w:r>
    </w:p>
    <w:p w14:paraId="5BA4658F">
      <w:pPr>
        <w:jc w:val="left"/>
        <w:rPr>
          <w:rFonts w:hint="eastAsia" w:ascii="宋体" w:hAnsi="宋体" w:eastAsia="宋体" w:cs="宋体"/>
          <w:b w:val="0"/>
          <w:bCs w:val="0"/>
          <w:sz w:val="24"/>
          <w:szCs w:val="24"/>
          <w:shd w:val="clear" w:color="FFFFFF" w:fill="D9D9D9"/>
          <w:lang w:val="en-US" w:eastAsia="zh-CN"/>
        </w:rPr>
      </w:pPr>
    </w:p>
    <w:p w14:paraId="49CCE97B">
      <w:pPr>
        <w:jc w:val="left"/>
        <w:rPr>
          <w:rFonts w:hint="eastAsia" w:ascii="宋体" w:hAnsi="宋体" w:eastAsia="宋体" w:cs="宋体"/>
          <w:b w:val="0"/>
          <w:bCs w:val="0"/>
          <w:sz w:val="24"/>
          <w:szCs w:val="24"/>
          <w:shd w:val="clear" w:color="FFFFFF" w:fill="D9D9D9"/>
          <w:lang w:val="en-US" w:eastAsia="zh-CN"/>
        </w:rPr>
      </w:pPr>
    </w:p>
    <w:p w14:paraId="60D57A46">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《财政部关于印发＜会计信息化工作规范＞的通知》</w:t>
      </w:r>
    </w:p>
    <w:p w14:paraId="799A78D1">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财会〔2024〕11号，</w:t>
      </w:r>
      <w:r>
        <w:rPr>
          <w:rFonts w:hint="eastAsia" w:ascii="宋体" w:hAnsi="宋体" w:eastAsia="宋体" w:cs="宋体"/>
          <w:i w:val="0"/>
          <w:iCs w:val="0"/>
          <w:caps w:val="0"/>
          <w:color w:val="333333"/>
          <w:spacing w:val="0"/>
          <w:sz w:val="24"/>
          <w:szCs w:val="24"/>
          <w:shd w:val="clear" w:fill="FFFFFF"/>
        </w:rPr>
        <w:t>自2025年1月1日起施行</w:t>
      </w:r>
    </w:p>
    <w:p w14:paraId="25F3455B">
      <w:pPr>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第三十八条　单位应当加强会计数据安全风险防范，采取数据加密传输技术等有效措施，保证会计数据处理与应用的安全合规，避免会计数据在生成、传输、处理、存储等环节的泄露、篡改及损毁风险。</w:t>
      </w:r>
    </w:p>
    <w:p w14:paraId="542B76AB">
      <w:pPr>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单位应当对电子会计资料进行备份，规定备份信息的备份方式、备份频率、存储介质、保存期等，确保会计资料的安全、完整和可用。</w:t>
      </w:r>
    </w:p>
    <w:p w14:paraId="76BC186C">
      <w:pPr>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鼓励单位结合内部数据管理要求建立会计数据安全分类分级管理体系，加强对重要数据和核心数据的保护。</w:t>
      </w:r>
    </w:p>
    <w:p w14:paraId="61BF1EDD">
      <w:pPr>
        <w:jc w:val="left"/>
        <w:rPr>
          <w:rFonts w:hint="eastAsia" w:ascii="宋体" w:hAnsi="宋体" w:eastAsia="宋体" w:cs="宋体"/>
          <w:b w:val="0"/>
          <w:bCs w:val="0"/>
          <w:sz w:val="24"/>
          <w:szCs w:val="24"/>
          <w:shd w:val="clear" w:color="auto" w:fill="auto"/>
          <w:lang w:val="en-US" w:eastAsia="zh-CN"/>
        </w:rPr>
      </w:pPr>
      <w:r>
        <w:rPr>
          <w:rFonts w:hint="eastAsia" w:ascii="宋体" w:hAnsi="宋体" w:eastAsia="宋体" w:cs="宋体"/>
          <w:b w:val="0"/>
          <w:bCs w:val="0"/>
          <w:sz w:val="24"/>
          <w:szCs w:val="24"/>
          <w:shd w:val="clear" w:color="auto" w:fill="auto"/>
          <w:lang w:val="en-US" w:eastAsia="zh-CN"/>
        </w:rPr>
        <w:fldChar w:fldCharType="begin"/>
      </w:r>
      <w:r>
        <w:rPr>
          <w:rFonts w:hint="eastAsia" w:ascii="宋体" w:hAnsi="宋体" w:eastAsia="宋体" w:cs="宋体"/>
          <w:b w:val="0"/>
          <w:bCs w:val="0"/>
          <w:sz w:val="24"/>
          <w:szCs w:val="24"/>
          <w:shd w:val="clear" w:color="auto" w:fill="auto"/>
          <w:lang w:val="en-US" w:eastAsia="zh-CN"/>
        </w:rPr>
        <w:instrText xml:space="preserve"> HYPERLINK "https://www.gov.cn/gongbao/2024/issue_11586/202409/content_6975086.html" </w:instrText>
      </w:r>
      <w:r>
        <w:rPr>
          <w:rFonts w:hint="eastAsia" w:ascii="宋体" w:hAnsi="宋体" w:eastAsia="宋体" w:cs="宋体"/>
          <w:b w:val="0"/>
          <w:bCs w:val="0"/>
          <w:sz w:val="24"/>
          <w:szCs w:val="24"/>
          <w:shd w:val="clear" w:color="auto" w:fill="auto"/>
          <w:lang w:val="en-US" w:eastAsia="zh-CN"/>
        </w:rPr>
        <w:fldChar w:fldCharType="separate"/>
      </w:r>
      <w:r>
        <w:rPr>
          <w:rStyle w:val="16"/>
          <w:rFonts w:hint="eastAsia" w:ascii="宋体" w:hAnsi="宋体" w:eastAsia="宋体" w:cs="宋体"/>
          <w:b w:val="0"/>
          <w:bCs w:val="0"/>
          <w:sz w:val="24"/>
          <w:szCs w:val="24"/>
          <w:shd w:val="clear" w:color="auto" w:fill="auto"/>
          <w:lang w:val="en-US" w:eastAsia="zh-CN"/>
        </w:rPr>
        <w:t>https://www.gov.cn/gongbao/2024/issue_11586/202409/content_6975086.html</w:t>
      </w:r>
      <w:r>
        <w:rPr>
          <w:rFonts w:hint="eastAsia" w:ascii="宋体" w:hAnsi="宋体" w:eastAsia="宋体" w:cs="宋体"/>
          <w:b w:val="0"/>
          <w:bCs w:val="0"/>
          <w:sz w:val="24"/>
          <w:szCs w:val="24"/>
          <w:shd w:val="clear" w:color="auto" w:fill="auto"/>
          <w:lang w:val="en-US" w:eastAsia="zh-CN"/>
        </w:rPr>
        <w:fldChar w:fldCharType="end"/>
      </w:r>
    </w:p>
    <w:p w14:paraId="222EF521">
      <w:pPr>
        <w:jc w:val="left"/>
        <w:rPr>
          <w:rFonts w:hint="eastAsia" w:ascii="宋体" w:hAnsi="宋体" w:eastAsia="宋体" w:cs="宋体"/>
          <w:b w:val="0"/>
          <w:bCs w:val="0"/>
          <w:sz w:val="24"/>
          <w:szCs w:val="24"/>
          <w:shd w:val="clear" w:color="FFFFFF" w:fill="D9D9D9"/>
          <w:lang w:val="en-US" w:eastAsia="zh-CN"/>
        </w:rPr>
      </w:pPr>
    </w:p>
    <w:p w14:paraId="411795EF">
      <w:pPr>
        <w:jc w:val="left"/>
        <w:rPr>
          <w:rFonts w:hint="eastAsia" w:ascii="宋体" w:hAnsi="宋体" w:eastAsia="宋体" w:cs="宋体"/>
          <w:b w:val="0"/>
          <w:bCs w:val="0"/>
          <w:sz w:val="24"/>
          <w:szCs w:val="24"/>
          <w:shd w:val="clear" w:color="FFFFFF" w:fill="D9D9D9"/>
          <w:lang w:val="en-US" w:eastAsia="zh-CN"/>
        </w:rPr>
      </w:pPr>
    </w:p>
    <w:p w14:paraId="2BCE1CD3">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《财政部 国家网信办关于印发＜会计师事务所数据安全管理暂行办法＞的通知》</w:t>
      </w:r>
    </w:p>
    <w:p w14:paraId="3D1B4E48">
      <w:pPr>
        <w:numPr>
          <w:ilvl w:val="0"/>
          <w:numId w:val="0"/>
        </w:numPr>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b w:val="0"/>
          <w:bCs w:val="0"/>
          <w:sz w:val="24"/>
          <w:szCs w:val="24"/>
          <w:lang w:val="en-US" w:eastAsia="zh-CN"/>
        </w:rPr>
        <w:t>财会〔2024〕6号，</w:t>
      </w:r>
      <w:r>
        <w:rPr>
          <w:rFonts w:hint="eastAsia" w:ascii="宋体" w:hAnsi="宋体" w:eastAsia="宋体" w:cs="宋体"/>
          <w:i w:val="0"/>
          <w:iCs w:val="0"/>
          <w:caps w:val="0"/>
          <w:color w:val="333333"/>
          <w:spacing w:val="0"/>
          <w:sz w:val="24"/>
          <w:szCs w:val="24"/>
          <w:shd w:val="clear" w:fill="FFFFFF"/>
        </w:rPr>
        <w:t>自2024年10月1日起施行</w:t>
      </w:r>
    </w:p>
    <w:p w14:paraId="1F956BF6">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14"/>
          <w:rFonts w:hint="eastAsia" w:ascii="宋体" w:hAnsi="宋体" w:eastAsia="宋体" w:cs="宋体"/>
          <w:b w:val="0"/>
          <w:bCs/>
          <w:i w:val="0"/>
          <w:iCs w:val="0"/>
          <w:caps w:val="0"/>
          <w:color w:val="333333"/>
          <w:spacing w:val="0"/>
          <w:sz w:val="24"/>
          <w:szCs w:val="24"/>
          <w:shd w:val="clear" w:fill="FFFFFF"/>
        </w:rPr>
        <w:t>第十二条</w:t>
      </w:r>
      <w:r>
        <w:rPr>
          <w:rFonts w:hint="eastAsia" w:ascii="宋体" w:hAnsi="宋体" w:eastAsia="宋体" w:cs="宋体"/>
          <w:i w:val="0"/>
          <w:iCs w:val="0"/>
          <w:caps w:val="0"/>
          <w:color w:val="333333"/>
          <w:spacing w:val="0"/>
          <w:sz w:val="24"/>
          <w:szCs w:val="24"/>
          <w:shd w:val="clear" w:fill="FFFFFF"/>
        </w:rPr>
        <w:t>　会计师事务所应当明确数据传输操作规程。核心数据、重要数据传输过程中应当采用加密技术，保护传输安全。</w:t>
      </w:r>
    </w:p>
    <w:p w14:paraId="3879E16E">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14"/>
          <w:rFonts w:hint="eastAsia" w:ascii="宋体" w:hAnsi="宋体" w:eastAsia="宋体" w:cs="宋体"/>
          <w:b w:val="0"/>
          <w:bCs/>
          <w:i w:val="0"/>
          <w:iCs w:val="0"/>
          <w:caps w:val="0"/>
          <w:color w:val="333333"/>
          <w:spacing w:val="0"/>
          <w:sz w:val="24"/>
          <w:szCs w:val="24"/>
          <w:shd w:val="clear" w:fill="FFFFFF"/>
        </w:rPr>
        <w:t>第十三条</w:t>
      </w:r>
      <w:r>
        <w:rPr>
          <w:rFonts w:hint="eastAsia" w:ascii="宋体" w:hAnsi="宋体" w:eastAsia="宋体" w:cs="宋体"/>
          <w:i w:val="0"/>
          <w:iCs w:val="0"/>
          <w:caps w:val="0"/>
          <w:color w:val="333333"/>
          <w:spacing w:val="0"/>
          <w:sz w:val="24"/>
          <w:szCs w:val="24"/>
          <w:shd w:val="clear" w:fill="FFFFFF"/>
        </w:rPr>
        <w:t>　审计工作底稿应当按照法律、行政法规和国家有关规定存储在境内。相关加密设备应当设置在境内并由境内团队负责运行维护，密钥应当存储在境内。</w:t>
      </w:r>
    </w:p>
    <w:p w14:paraId="5A8846FF">
      <w:pPr>
        <w:numPr>
          <w:ilvl w:val="0"/>
          <w:numId w:val="0"/>
        </w:numPr>
        <w:jc w:val="left"/>
        <w:rPr>
          <w:rFonts w:hint="eastAsia" w:ascii="宋体" w:hAnsi="宋体" w:eastAsia="宋体" w:cs="宋体"/>
          <w:b w:val="0"/>
          <w:bCs w:val="0"/>
          <w:kern w:val="2"/>
          <w:sz w:val="24"/>
          <w:szCs w:val="24"/>
          <w:lang w:val="en-US" w:eastAsia="zh-CN" w:bidi="ar-SA"/>
        </w:rPr>
      </w:pPr>
      <w:r>
        <w:rPr>
          <w:rStyle w:val="14"/>
          <w:rFonts w:hint="eastAsia" w:ascii="宋体" w:hAnsi="宋体" w:eastAsia="宋体" w:cs="宋体"/>
          <w:b w:val="0"/>
          <w:bCs/>
          <w:i w:val="0"/>
          <w:iCs w:val="0"/>
          <w:caps w:val="0"/>
          <w:color w:val="333333"/>
          <w:spacing w:val="0"/>
          <w:sz w:val="24"/>
          <w:szCs w:val="24"/>
          <w:shd w:val="clear" w:fill="FFFFFF"/>
        </w:rPr>
        <w:t>第十六条</w:t>
      </w:r>
      <w:r>
        <w:rPr>
          <w:rFonts w:hint="eastAsia" w:ascii="宋体" w:hAnsi="宋体" w:eastAsia="宋体" w:cs="宋体"/>
          <w:i w:val="0"/>
          <w:iCs w:val="0"/>
          <w:caps w:val="0"/>
          <w:color w:val="333333"/>
          <w:spacing w:val="0"/>
          <w:sz w:val="24"/>
          <w:szCs w:val="24"/>
          <w:shd w:val="clear" w:fill="FFFFFF"/>
        </w:rPr>
        <w:t>　会计师事务所应当采用网络隔离、用户认证、访问控制、数据加密、病毒防范、非法入侵检测等技术手段，及时识别、阻断和溯源相关网络攻击和非法访问，保障数据安全。</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"https://www.gov.cn/gongbao/2024/issue_11386/202406/content_6955750.html" </w:instrText>
      </w:r>
      <w:r>
        <w:rPr>
          <w:rFonts w:hint="eastAsia" w:ascii="宋体" w:hAnsi="宋体" w:eastAsia="宋体" w:cs="宋体"/>
          <w:i w:val="0"/>
          <w:iCs w:val="0"/>
          <w:caps w:val="0"/>
          <w:color w:val="333333"/>
          <w:spacing w:val="0"/>
          <w:sz w:val="24"/>
          <w:szCs w:val="24"/>
          <w:shd w:val="clear" w:fill="FFFFFF"/>
        </w:rPr>
        <w:fldChar w:fldCharType="separate"/>
      </w:r>
      <w:r>
        <w:rPr>
          <w:rStyle w:val="16"/>
          <w:rFonts w:hint="eastAsia" w:ascii="宋体" w:hAnsi="宋体" w:eastAsia="宋体" w:cs="宋体"/>
          <w:i w:val="0"/>
          <w:iCs w:val="0"/>
          <w:caps w:val="0"/>
          <w:spacing w:val="0"/>
          <w:sz w:val="24"/>
          <w:szCs w:val="24"/>
          <w:shd w:val="clear" w:fill="FFFFFF"/>
        </w:rPr>
        <w:t>https://www.gov.cn/gongbao/2024/issue_11386/202406/content_6955750.html</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kern w:val="2"/>
          <w:sz w:val="24"/>
          <w:szCs w:val="24"/>
          <w:lang w:val="en-US" w:eastAsia="zh-CN" w:bidi="ar-SA"/>
        </w:rPr>
        <w:t>《</w:t>
      </w:r>
      <w:r>
        <w:rPr>
          <w:rFonts w:hint="eastAsia" w:ascii="宋体" w:hAnsi="宋体" w:eastAsia="宋体" w:cs="宋体"/>
          <w:b w:val="0"/>
          <w:bCs w:val="0"/>
          <w:kern w:val="2"/>
          <w:sz w:val="24"/>
          <w:szCs w:val="24"/>
          <w:lang w:val="en-US" w:eastAsia="zh-CN" w:bidi="ar-SA"/>
        </w:rPr>
        <w:t>中共中央办公厅 国务院办公厅关于数字贸易改革创新发展的意见》</w:t>
      </w:r>
    </w:p>
    <w:p w14:paraId="18896BB5">
      <w:pPr>
        <w:numPr>
          <w:ilvl w:val="0"/>
          <w:numId w:val="0"/>
        </w:numPr>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成文日期为2024年8月17日</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　　（十七）加强知识产权保护。研究构建数据知识产权保护规则。加强对源代码、算法、加密密钥、商业秘密以及其他专有信息的法律保护。加快推动数字产品标识化。加强数字贸易领域知识产权公共服务。加强涉及数字贸易的商标注册和保护。拓宽知识产权海外维权和争议解决渠道。</w:t>
      </w:r>
    </w:p>
    <w:p w14:paraId="79727069">
      <w:pPr>
        <w:numPr>
          <w:ilvl w:val="0"/>
          <w:numId w:val="0"/>
        </w:numPr>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fldChar w:fldCharType="begin"/>
      </w:r>
      <w:r>
        <w:rPr>
          <w:rFonts w:hint="eastAsia" w:ascii="宋体" w:hAnsi="宋体" w:eastAsia="宋体" w:cs="宋体"/>
          <w:b w:val="0"/>
          <w:bCs w:val="0"/>
          <w:kern w:val="2"/>
          <w:sz w:val="24"/>
          <w:szCs w:val="24"/>
          <w:lang w:val="en-US" w:eastAsia="zh-CN" w:bidi="ar-SA"/>
        </w:rPr>
        <w:instrText xml:space="preserve"> HYPERLINK "https://www.gov.cn/gongbao/2024/issue_11766/202412/content_6993326.html" </w:instrText>
      </w:r>
      <w:r>
        <w:rPr>
          <w:rFonts w:hint="eastAsia" w:ascii="宋体" w:hAnsi="宋体" w:eastAsia="宋体" w:cs="宋体"/>
          <w:b w:val="0"/>
          <w:bCs w:val="0"/>
          <w:kern w:val="2"/>
          <w:sz w:val="24"/>
          <w:szCs w:val="24"/>
          <w:lang w:val="en-US" w:eastAsia="zh-CN" w:bidi="ar-SA"/>
        </w:rPr>
        <w:fldChar w:fldCharType="separate"/>
      </w:r>
      <w:r>
        <w:rPr>
          <w:rStyle w:val="16"/>
          <w:rFonts w:hint="eastAsia" w:ascii="宋体" w:hAnsi="宋体" w:eastAsia="宋体" w:cs="宋体"/>
          <w:b w:val="0"/>
          <w:bCs w:val="0"/>
          <w:kern w:val="2"/>
          <w:sz w:val="24"/>
          <w:szCs w:val="24"/>
          <w:lang w:val="en-US" w:eastAsia="zh-CN" w:bidi="ar-SA"/>
        </w:rPr>
        <w:t>https://www.gov.cn/gongbao/2024/issue_11766/202412/content_6993326.html</w:t>
      </w:r>
      <w:r>
        <w:rPr>
          <w:rFonts w:hint="eastAsia" w:ascii="宋体" w:hAnsi="宋体" w:eastAsia="宋体" w:cs="宋体"/>
          <w:b w:val="0"/>
          <w:bCs w:val="0"/>
          <w:kern w:val="2"/>
          <w:sz w:val="24"/>
          <w:szCs w:val="24"/>
          <w:lang w:val="en-US" w:eastAsia="zh-CN" w:bidi="ar-SA"/>
        </w:rPr>
        <w:fldChar w:fldCharType="end"/>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《快递市场管理办法》</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中华人民共和国交通运输部令2023年第22号，</w:t>
      </w:r>
      <w:r>
        <w:rPr>
          <w:rFonts w:hint="eastAsia" w:ascii="宋体" w:hAnsi="宋体" w:eastAsia="宋体" w:cs="宋体"/>
          <w:i w:val="0"/>
          <w:iCs w:val="0"/>
          <w:caps w:val="0"/>
          <w:color w:val="333333"/>
          <w:spacing w:val="0"/>
          <w:sz w:val="24"/>
          <w:szCs w:val="24"/>
          <w:shd w:val="clear" w:fill="FFFFFF"/>
        </w:rPr>
        <w:t>自2024年3月1日起施行</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eastAsia="zh-CN"/>
        </w:rPr>
        <w:t>　　</w:t>
      </w:r>
      <w:r>
        <w:rPr>
          <w:rFonts w:hint="eastAsia" w:ascii="宋体" w:hAnsi="宋体" w:eastAsia="宋体" w:cs="宋体"/>
          <w:b w:val="0"/>
          <w:bCs w:val="0"/>
          <w:kern w:val="2"/>
          <w:sz w:val="24"/>
          <w:szCs w:val="24"/>
          <w:lang w:val="en-US" w:eastAsia="zh-CN" w:bidi="ar-SA"/>
        </w:rPr>
        <w:t>第三十六条　经营快递业务的企业应当建立快递运单（含电子运单）制作、使用、保管、销毁等管理制度和操作规程，采取加密、去标识化等安全技术措施保护快递运单信息安全。</w:t>
      </w:r>
    </w:p>
    <w:p w14:paraId="31693097">
      <w:pPr>
        <w:numPr>
          <w:ilvl w:val="0"/>
          <w:numId w:val="0"/>
        </w:numPr>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经营快递业务的企业应当建立快递运单码号使用、销毁等管理制度，实行码号使用信息、用户信息、快递物品信息关联管理，保证快件可以跟踪查询。</w:t>
      </w:r>
    </w:p>
    <w:p w14:paraId="77E18072">
      <w:pPr>
        <w:numPr>
          <w:ilvl w:val="0"/>
          <w:numId w:val="0"/>
        </w:numPr>
        <w:ind w:firstLine="48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任何单位和个人不得非法使用、倒卖快递运单。</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fldChar w:fldCharType="begin"/>
      </w:r>
      <w:r>
        <w:rPr>
          <w:rFonts w:hint="eastAsia" w:ascii="宋体" w:hAnsi="宋体" w:eastAsia="宋体" w:cs="宋体"/>
          <w:b w:val="0"/>
          <w:bCs w:val="0"/>
          <w:kern w:val="2"/>
          <w:sz w:val="24"/>
          <w:szCs w:val="24"/>
          <w:lang w:val="en-US" w:eastAsia="zh-CN" w:bidi="ar-SA"/>
        </w:rPr>
        <w:instrText xml:space="preserve"> HYPERLINK "https://www.gov.cn/gongbao/2024/issue_11206/202403/content_6937896.html" </w:instrText>
      </w:r>
      <w:r>
        <w:rPr>
          <w:rFonts w:hint="eastAsia" w:ascii="宋体" w:hAnsi="宋体" w:eastAsia="宋体" w:cs="宋体"/>
          <w:b w:val="0"/>
          <w:bCs w:val="0"/>
          <w:kern w:val="2"/>
          <w:sz w:val="24"/>
          <w:szCs w:val="24"/>
          <w:lang w:val="en-US" w:eastAsia="zh-CN" w:bidi="ar-SA"/>
        </w:rPr>
        <w:fldChar w:fldCharType="separate"/>
      </w:r>
      <w:r>
        <w:rPr>
          <w:rStyle w:val="16"/>
          <w:rFonts w:hint="eastAsia" w:ascii="宋体" w:hAnsi="宋体" w:eastAsia="宋体" w:cs="宋体"/>
          <w:b w:val="0"/>
          <w:bCs w:val="0"/>
          <w:kern w:val="2"/>
          <w:sz w:val="24"/>
          <w:szCs w:val="24"/>
          <w:lang w:val="en-US" w:eastAsia="zh-CN" w:bidi="ar-SA"/>
        </w:rPr>
        <w:t>https://www.gov.cn/gongbao/2024/issue_11206/202403/content_6937896.html</w:t>
      </w:r>
      <w:r>
        <w:rPr>
          <w:rFonts w:hint="eastAsia" w:ascii="宋体" w:hAnsi="宋体" w:eastAsia="宋体" w:cs="宋体"/>
          <w:b w:val="0"/>
          <w:bCs w:val="0"/>
          <w:kern w:val="2"/>
          <w:sz w:val="24"/>
          <w:szCs w:val="24"/>
          <w:lang w:val="en-US" w:eastAsia="zh-CN" w:bidi="ar-SA"/>
        </w:rPr>
        <w:fldChar w:fldCharType="end"/>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《产业结构调整指导目录（2024年本）》</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中华人民共和国国家发展和改革委员会令第7号，</w:t>
      </w:r>
      <w:r>
        <w:rPr>
          <w:rFonts w:hint="eastAsia" w:ascii="宋体" w:hAnsi="宋体" w:eastAsia="宋体" w:cs="宋体"/>
          <w:i w:val="0"/>
          <w:iCs w:val="0"/>
          <w:caps w:val="0"/>
          <w:color w:val="333333"/>
          <w:spacing w:val="0"/>
          <w:sz w:val="24"/>
          <w:szCs w:val="24"/>
          <w:shd w:val="clear" w:fill="FFFFFF"/>
        </w:rPr>
        <w:t>自2024年2月1日起施行</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b w:val="0"/>
          <w:bCs w:val="0"/>
          <w:kern w:val="2"/>
          <w:sz w:val="24"/>
          <w:szCs w:val="24"/>
          <w:lang w:val="en-US" w:eastAsia="zh-CN" w:bidi="ar-SA"/>
        </w:rPr>
        <w:t>　　第一类　鼓励类</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　　五十、网络安全</w:t>
      </w:r>
    </w:p>
    <w:p w14:paraId="5703E02F">
      <w:pPr>
        <w:numPr>
          <w:ilvl w:val="0"/>
          <w:numId w:val="0"/>
        </w:numPr>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1.网络安全产品：端点安全产品、设施安全产品、应用安全产品、数据安全产品、身份安全产品、安全管理产品等</w:t>
      </w:r>
    </w:p>
    <w:p w14:paraId="6FC15C27">
      <w:pPr>
        <w:numPr>
          <w:ilvl w:val="0"/>
          <w:numId w:val="0"/>
        </w:numPr>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2.网络安全服务：安全咨询、设计与开发，安全集成、安全运营、信息的安全处理和存储、测评认证、灾难备份与恢复、网络安全审计、应急响应、实训基础设施服务、教育培训、安全众测、网络安全保险等</w:t>
      </w:r>
    </w:p>
    <w:p w14:paraId="4DC906ED">
      <w:pPr>
        <w:numPr>
          <w:ilvl w:val="0"/>
          <w:numId w:val="0"/>
        </w:numPr>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3.网络安全技术的研发与转让</w:t>
      </w:r>
    </w:p>
    <w:p w14:paraId="184C53F3">
      <w:pPr>
        <w:numPr>
          <w:ilvl w:val="0"/>
          <w:numId w:val="0"/>
        </w:numPr>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4.网络安全检测工具：源代码审计工具、软件负载压力测试工具、网络性能测试仪、漏洞扫描与验证工具、安全配置核查工具、网络流量分析工具、模糊测试工具、渗透测试工具、协议一致性验证工具、流量仿真工具等</w:t>
      </w:r>
    </w:p>
    <w:p w14:paraId="20C66F6C">
      <w:pPr>
        <w:numPr>
          <w:ilvl w:val="0"/>
          <w:numId w:val="0"/>
        </w:numPr>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5.网络安全基础设施建设与改造升级：网络安全基础平台设施、网络安全产业园区等</w:t>
      </w:r>
    </w:p>
    <w:p w14:paraId="40C6A4F0">
      <w:pPr>
        <w:numPr>
          <w:ilvl w:val="0"/>
          <w:numId w:val="0"/>
        </w:numPr>
        <w:ind w:firstLine="48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6.数据安全技术产品研发与产业化应用，数据安全服务发展（包括检测评估、认证、教育培训等）</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fldChar w:fldCharType="begin"/>
      </w:r>
      <w:r>
        <w:rPr>
          <w:rFonts w:hint="eastAsia" w:ascii="宋体" w:hAnsi="宋体" w:eastAsia="宋体" w:cs="宋体"/>
          <w:b w:val="0"/>
          <w:bCs w:val="0"/>
          <w:kern w:val="2"/>
          <w:sz w:val="24"/>
          <w:szCs w:val="24"/>
          <w:lang w:val="en-US" w:eastAsia="zh-CN" w:bidi="ar-SA"/>
        </w:rPr>
        <w:instrText xml:space="preserve"> HYPERLINK "https://www.gov.cn/gongbao/2024/issue_11206/202403/content_6937897.html" </w:instrText>
      </w:r>
      <w:r>
        <w:rPr>
          <w:rFonts w:hint="eastAsia" w:ascii="宋体" w:hAnsi="宋体" w:eastAsia="宋体" w:cs="宋体"/>
          <w:b w:val="0"/>
          <w:bCs w:val="0"/>
          <w:kern w:val="2"/>
          <w:sz w:val="24"/>
          <w:szCs w:val="24"/>
          <w:lang w:val="en-US" w:eastAsia="zh-CN" w:bidi="ar-SA"/>
        </w:rPr>
        <w:fldChar w:fldCharType="separate"/>
      </w:r>
      <w:r>
        <w:rPr>
          <w:rStyle w:val="16"/>
          <w:rFonts w:hint="eastAsia" w:ascii="宋体" w:hAnsi="宋体" w:eastAsia="宋体" w:cs="宋体"/>
          <w:b w:val="0"/>
          <w:bCs w:val="0"/>
          <w:kern w:val="2"/>
          <w:sz w:val="24"/>
          <w:szCs w:val="24"/>
          <w:lang w:val="en-US" w:eastAsia="zh-CN" w:bidi="ar-SA"/>
        </w:rPr>
        <w:t>https://www.gov.cn/gongbao/2024/issue_11206/202403/content_6937897.html</w:t>
      </w:r>
      <w:r>
        <w:rPr>
          <w:rFonts w:hint="eastAsia" w:ascii="宋体" w:hAnsi="宋体" w:eastAsia="宋体" w:cs="宋体"/>
          <w:b w:val="0"/>
          <w:bCs w:val="0"/>
          <w:kern w:val="2"/>
          <w:sz w:val="24"/>
          <w:szCs w:val="24"/>
          <w:lang w:val="en-US" w:eastAsia="zh-CN" w:bidi="ar-SA"/>
        </w:rPr>
        <w:fldChar w:fldCharType="end"/>
      </w:r>
    </w:p>
    <w:p w14:paraId="418227B8">
      <w:pPr>
        <w:numPr>
          <w:ilvl w:val="0"/>
          <w:numId w:val="0"/>
        </w:numPr>
        <w:ind w:firstLine="480"/>
        <w:jc w:val="left"/>
        <w:rPr>
          <w:rFonts w:hint="eastAsia" w:ascii="宋体" w:hAnsi="宋体" w:eastAsia="宋体" w:cs="宋体"/>
          <w:b w:val="0"/>
          <w:bCs w:val="0"/>
          <w:kern w:val="2"/>
          <w:sz w:val="24"/>
          <w:szCs w:val="24"/>
          <w:lang w:val="en-US" w:eastAsia="zh-CN" w:bidi="ar-SA"/>
        </w:rPr>
      </w:pPr>
    </w:p>
    <w:p w14:paraId="5961A6C3">
      <w:pPr>
        <w:numPr>
          <w:ilvl w:val="0"/>
          <w:numId w:val="0"/>
        </w:numPr>
        <w:jc w:val="left"/>
        <w:rPr>
          <w:rFonts w:hint="eastAsia" w:ascii="宋体" w:hAnsi="宋体" w:eastAsia="宋体" w:cs="宋体"/>
          <w:b w:val="0"/>
          <w:bCs w:val="0"/>
          <w:kern w:val="2"/>
          <w:sz w:val="24"/>
          <w:szCs w:val="24"/>
          <w:lang w:val="en-US" w:eastAsia="zh-CN" w:bidi="ar-SA"/>
        </w:rPr>
      </w:pPr>
    </w:p>
    <w:p w14:paraId="23F85965">
      <w:pPr>
        <w:numPr>
          <w:ilvl w:val="0"/>
          <w:numId w:val="0"/>
        </w:numPr>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《交通运输部关于修改〈邮政业寄递安全监督管理办法〉的决定》</w:t>
      </w:r>
    </w:p>
    <w:p w14:paraId="18AA4D50">
      <w:pPr>
        <w:numPr>
          <w:ilvl w:val="0"/>
          <w:numId w:val="0"/>
        </w:numPr>
        <w:jc w:val="left"/>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中华人民共和国交通运输部令2023年第24号，</w:t>
      </w:r>
      <w:r>
        <w:rPr>
          <w:rFonts w:hint="eastAsia" w:ascii="宋体" w:hAnsi="宋体" w:eastAsia="宋体" w:cs="宋体"/>
          <w:i w:val="0"/>
          <w:iCs w:val="0"/>
          <w:caps w:val="0"/>
          <w:color w:val="333333"/>
          <w:spacing w:val="0"/>
          <w:sz w:val="24"/>
          <w:szCs w:val="24"/>
          <w:shd w:val="clear" w:fill="FFFFFF"/>
        </w:rPr>
        <w:t>2023年12月20日</w:t>
      </w:r>
      <w:r>
        <w:rPr>
          <w:rFonts w:hint="eastAsia" w:ascii="宋体" w:hAnsi="宋体" w:eastAsia="宋体" w:cs="宋体"/>
          <w:i w:val="0"/>
          <w:iCs w:val="0"/>
          <w:caps w:val="0"/>
          <w:color w:val="333333"/>
          <w:spacing w:val="0"/>
          <w:sz w:val="24"/>
          <w:szCs w:val="24"/>
          <w:shd w:val="clear" w:fill="FFFFFF"/>
          <w:lang w:val="en-US" w:eastAsia="zh-CN"/>
        </w:rPr>
        <w:t>修改施行</w:t>
      </w:r>
    </w:p>
    <w:p w14:paraId="6A56B57D">
      <w:pPr>
        <w:numPr>
          <w:ilvl w:val="0"/>
          <w:numId w:val="0"/>
        </w:numPr>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第二十二条　邮政企业、快递企业应当按照国家网络安全等级保护制度的要求，履行下列安全保护义务，保障其网络免受干扰、破坏或者未经授权的访问，防止网络数据泄露或者被窃取、篡改：</w:t>
      </w:r>
    </w:p>
    <w:p w14:paraId="64DF3DC2">
      <w:pPr>
        <w:numPr>
          <w:ilvl w:val="0"/>
          <w:numId w:val="0"/>
        </w:numPr>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（一）制定内部安全管理制度和操作规程，确定网络安全负责人，落实网络安全保护责任；</w:t>
      </w:r>
    </w:p>
    <w:p w14:paraId="2FE13A91">
      <w:pPr>
        <w:numPr>
          <w:ilvl w:val="0"/>
          <w:numId w:val="0"/>
        </w:numPr>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（二）采取防范计算机病毒和网络攻击、网络侵入等危害网络安全行为的技术措施；</w:t>
      </w:r>
    </w:p>
    <w:p w14:paraId="40D20EDB">
      <w:pPr>
        <w:numPr>
          <w:ilvl w:val="0"/>
          <w:numId w:val="0"/>
        </w:numPr>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（三）采取监测、记录网络运行状态、网络安全事件的技术措施，并按照规定留存相关的网络日志不少于6个月；</w:t>
      </w:r>
    </w:p>
    <w:p w14:paraId="790A19CC">
      <w:pPr>
        <w:numPr>
          <w:ilvl w:val="0"/>
          <w:numId w:val="0"/>
        </w:numPr>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（四）采取数据分类、重要数据备份和加密等措施；</w:t>
      </w:r>
    </w:p>
    <w:p w14:paraId="23F27042">
      <w:pPr>
        <w:numPr>
          <w:ilvl w:val="0"/>
          <w:numId w:val="0"/>
        </w:numPr>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（五）法律、行政法规规定的其他义务。</w:t>
      </w:r>
    </w:p>
    <w:p w14:paraId="5AF0F050">
      <w:pPr>
        <w:numPr>
          <w:ilvl w:val="0"/>
          <w:numId w:val="0"/>
        </w:numPr>
        <w:jc w:val="left"/>
        <w:rPr>
          <w:rFonts w:hint="eastAsia" w:ascii="宋体" w:hAnsi="宋体" w:eastAsia="宋体" w:cs="宋体"/>
          <w:b w:val="0"/>
          <w:bCs w:val="0"/>
          <w:kern w:val="2"/>
          <w:sz w:val="24"/>
          <w:szCs w:val="24"/>
          <w:shd w:val="clear" w:color="auto" w:fill="auto"/>
          <w:lang w:val="en-US" w:eastAsia="zh-CN" w:bidi="ar-SA"/>
        </w:rPr>
      </w:pPr>
      <w:r>
        <w:rPr>
          <w:rFonts w:hint="eastAsia" w:ascii="宋体" w:hAnsi="宋体" w:eastAsia="宋体" w:cs="宋体"/>
          <w:b w:val="0"/>
          <w:bCs w:val="0"/>
          <w:kern w:val="2"/>
          <w:sz w:val="24"/>
          <w:szCs w:val="24"/>
          <w:lang w:val="en-US" w:eastAsia="zh-CN" w:bidi="ar-SA"/>
        </w:rPr>
        <w:fldChar w:fldCharType="begin"/>
      </w:r>
      <w:r>
        <w:rPr>
          <w:rFonts w:hint="eastAsia" w:ascii="宋体" w:hAnsi="宋体" w:eastAsia="宋体" w:cs="宋体"/>
          <w:b w:val="0"/>
          <w:bCs w:val="0"/>
          <w:kern w:val="2"/>
          <w:sz w:val="24"/>
          <w:szCs w:val="24"/>
          <w:lang w:val="en-US" w:eastAsia="zh-CN" w:bidi="ar-SA"/>
        </w:rPr>
        <w:instrText xml:space="preserve"> HYPERLINK "https://www.gov.cn/gongbao/2024/issue_11226/202403/content_6940051.html" </w:instrText>
      </w:r>
      <w:r>
        <w:rPr>
          <w:rFonts w:hint="eastAsia" w:ascii="宋体" w:hAnsi="宋体" w:eastAsia="宋体" w:cs="宋体"/>
          <w:b w:val="0"/>
          <w:bCs w:val="0"/>
          <w:kern w:val="2"/>
          <w:sz w:val="24"/>
          <w:szCs w:val="24"/>
          <w:lang w:val="en-US" w:eastAsia="zh-CN" w:bidi="ar-SA"/>
        </w:rPr>
        <w:fldChar w:fldCharType="separate"/>
      </w:r>
      <w:r>
        <w:rPr>
          <w:rStyle w:val="16"/>
          <w:rFonts w:hint="eastAsia" w:ascii="宋体" w:hAnsi="宋体" w:eastAsia="宋体" w:cs="宋体"/>
          <w:b w:val="0"/>
          <w:bCs w:val="0"/>
          <w:kern w:val="2"/>
          <w:sz w:val="24"/>
          <w:szCs w:val="24"/>
          <w:lang w:val="en-US" w:eastAsia="zh-CN" w:bidi="ar-SA"/>
        </w:rPr>
        <w:t>https://www.gov.cn/gongbao/2024/issue_11226/202403/content_6940051.html</w:t>
      </w:r>
      <w:r>
        <w:rPr>
          <w:rFonts w:hint="eastAsia" w:ascii="宋体" w:hAnsi="宋体" w:eastAsia="宋体" w:cs="宋体"/>
          <w:b w:val="0"/>
          <w:bCs w:val="0"/>
          <w:kern w:val="2"/>
          <w:sz w:val="24"/>
          <w:szCs w:val="24"/>
          <w:lang w:val="en-US" w:eastAsia="zh-CN" w:bidi="ar-SA"/>
        </w:rPr>
        <w:fldChar w:fldCharType="end"/>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shd w:val="clear" w:color="auto" w:fill="auto"/>
          <w:lang w:val="en-US" w:eastAsia="zh-CN"/>
        </w:rPr>
        <w:t>《</w:t>
      </w:r>
      <w:r>
        <w:rPr>
          <w:rFonts w:hint="eastAsia" w:ascii="宋体" w:hAnsi="宋体" w:eastAsia="宋体" w:cs="宋体"/>
          <w:b w:val="0"/>
          <w:bCs w:val="0"/>
          <w:kern w:val="2"/>
          <w:sz w:val="24"/>
          <w:szCs w:val="24"/>
          <w:shd w:val="clear" w:color="auto" w:fill="auto"/>
          <w:lang w:val="en-US" w:eastAsia="zh-CN" w:bidi="ar-SA"/>
        </w:rPr>
        <w:t>工业和信息化部办公厅关于组织开展网络安全保险服务试点工作的通知</w:t>
      </w:r>
      <w:r>
        <w:rPr>
          <w:rFonts w:hint="eastAsia" w:ascii="宋体" w:hAnsi="宋体" w:eastAsia="宋体" w:cs="宋体"/>
          <w:b w:val="0"/>
          <w:bCs w:val="0"/>
          <w:sz w:val="24"/>
          <w:szCs w:val="24"/>
          <w:shd w:val="clear" w:color="auto" w:fill="auto"/>
          <w:lang w:val="en-US" w:eastAsia="zh-CN"/>
        </w:rPr>
        <w:t>》</w:t>
      </w:r>
    </w:p>
    <w:p w14:paraId="556DC2CC">
      <w:pPr>
        <w:numPr>
          <w:ilvl w:val="0"/>
          <w:numId w:val="0"/>
        </w:numPr>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工信厅网安函〔2023〕356号，成文日期为2023年12月14日</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　　三、试点对象及内容</w:t>
      </w:r>
    </w:p>
    <w:p w14:paraId="2E33D892">
      <w:pPr>
        <w:numPr>
          <w:ilvl w:val="0"/>
          <w:numId w:val="0"/>
        </w:numPr>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结合我国网络安全保险发展实际，试点内容包括面向电信和互联网、工业互联网、车联网等重点行业的企业类保险和网络安全产品、信息技术产品，以及网络安全服务类保险，主要试点内容如下。</w:t>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shd w:val="clear" w:color="auto" w:fill="auto"/>
          <w:lang w:val="en-US" w:eastAsia="zh-CN"/>
        </w:rPr>
        <w:t>　　</w:t>
      </w:r>
      <w:r>
        <w:rPr>
          <w:rFonts w:hint="eastAsia" w:ascii="宋体" w:hAnsi="宋体" w:eastAsia="宋体" w:cs="宋体"/>
          <w:b w:val="0"/>
          <w:bCs w:val="0"/>
          <w:kern w:val="2"/>
          <w:sz w:val="24"/>
          <w:szCs w:val="24"/>
          <w:lang w:val="en-US" w:eastAsia="zh-CN" w:bidi="ar-SA"/>
        </w:rPr>
        <w:t>（一）企业类</w:t>
      </w:r>
    </w:p>
    <w:p w14:paraId="5215CCCC">
      <w:pPr>
        <w:numPr>
          <w:ilvl w:val="0"/>
          <w:numId w:val="0"/>
        </w:numPr>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以企业法人为被保险方，主要保障网络安全事件对其造成的财产损失或赔偿责任。</w:t>
      </w:r>
    </w:p>
    <w:p w14:paraId="71E03593">
      <w:pPr>
        <w:numPr>
          <w:ilvl w:val="0"/>
          <w:numId w:val="0"/>
        </w:numPr>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2.工业互联网企业。面向联网工业企业、工业互联网平台企业、标识解析企业等工业互联网企业，针对因网络攻击或内部人员操作不当造成的联网工业设备或工业控制系统运行故障、自动化生产线停止运行、重要数据被加密锁定等风险场景，主要承保营业中断损失、数据资产重置费用、应急处置费用等。面向原材料工业、装备工业、消费品工业和电子信息制造业等重要行业企业，针对因网络攻击或操作不当造成的生产制造系统运行故障，办公自动化等系统运行中断、管理数据损坏等风险场景，主要承保营业中断损失、数据资产重置费用、应急处置费用等。</w:t>
      </w:r>
    </w:p>
    <w:p w14:paraId="41494A95">
      <w:pPr>
        <w:numPr>
          <w:ilvl w:val="0"/>
          <w:numId w:val="0"/>
        </w:numPr>
        <w:ind w:firstLine="48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车联网企业。面向整车生产制造企业、车辆电子系统制造企业、电子零部件企业、智能车辆运营企业等车联网相关企业，针对因网络攻击、系统设计缺陷、操作不当等导致的装配线等生产制造系统运行故障、车辆设计敏感数据被泄露等风险场景，主要承保车主、车上人员以及第三方的索赔损失、数据资产重置费用、硬件改善成本、营业中断损失、应急处置费用等。</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fldChar w:fldCharType="begin"/>
      </w:r>
      <w:r>
        <w:rPr>
          <w:rFonts w:hint="eastAsia" w:ascii="宋体" w:hAnsi="宋体" w:eastAsia="宋体" w:cs="宋体"/>
          <w:b w:val="0"/>
          <w:bCs w:val="0"/>
          <w:kern w:val="2"/>
          <w:sz w:val="24"/>
          <w:szCs w:val="24"/>
          <w:lang w:val="en-US" w:eastAsia="zh-CN" w:bidi="ar-SA"/>
        </w:rPr>
        <w:instrText xml:space="preserve"> HYPERLINK "https://www.gov.cn/zhengce/zhengceku/202312/content_6921869.htm" </w:instrText>
      </w:r>
      <w:r>
        <w:rPr>
          <w:rFonts w:hint="eastAsia" w:ascii="宋体" w:hAnsi="宋体" w:eastAsia="宋体" w:cs="宋体"/>
          <w:b w:val="0"/>
          <w:bCs w:val="0"/>
          <w:kern w:val="2"/>
          <w:sz w:val="24"/>
          <w:szCs w:val="24"/>
          <w:lang w:val="en-US" w:eastAsia="zh-CN" w:bidi="ar-SA"/>
        </w:rPr>
        <w:fldChar w:fldCharType="separate"/>
      </w:r>
      <w:r>
        <w:rPr>
          <w:rStyle w:val="16"/>
          <w:rFonts w:hint="eastAsia" w:ascii="宋体" w:hAnsi="宋体" w:eastAsia="宋体" w:cs="宋体"/>
          <w:b w:val="0"/>
          <w:bCs w:val="0"/>
          <w:kern w:val="2"/>
          <w:sz w:val="24"/>
          <w:szCs w:val="24"/>
          <w:lang w:val="en-US" w:eastAsia="zh-CN" w:bidi="ar-SA"/>
        </w:rPr>
        <w:t>https://www.gov.cn/zhengce/zhengceku/202312/content_6921869.htm</w:t>
      </w:r>
      <w:r>
        <w:rPr>
          <w:rFonts w:hint="eastAsia" w:ascii="宋体" w:hAnsi="宋体" w:eastAsia="宋体" w:cs="宋体"/>
          <w:b w:val="0"/>
          <w:bCs w:val="0"/>
          <w:kern w:val="2"/>
          <w:sz w:val="24"/>
          <w:szCs w:val="24"/>
          <w:lang w:val="en-US" w:eastAsia="zh-CN" w:bidi="ar-SA"/>
        </w:rPr>
        <w:fldChar w:fldCharType="end"/>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kern w:val="2"/>
          <w:sz w:val="24"/>
          <w:szCs w:val="24"/>
          <w:lang w:val="en-US" w:eastAsia="zh-CN" w:bidi="ar-SA"/>
        </w:rPr>
        <w:t>《</w:t>
      </w:r>
      <w:r>
        <w:rPr>
          <w:rFonts w:hint="eastAsia" w:ascii="宋体" w:hAnsi="宋体" w:eastAsia="宋体" w:cs="宋体"/>
          <w:b w:val="0"/>
          <w:bCs w:val="0"/>
          <w:kern w:val="2"/>
          <w:sz w:val="24"/>
          <w:szCs w:val="24"/>
          <w:lang w:val="en-US" w:eastAsia="zh-CN" w:bidi="ar-SA"/>
        </w:rPr>
        <w:t>工业和信息化部关于进一步提升移动互联网应用服务能力的通知》</w:t>
      </w:r>
    </w:p>
    <w:p w14:paraId="058786F0">
      <w:pPr>
        <w:numPr>
          <w:ilvl w:val="0"/>
          <w:numId w:val="0"/>
        </w:numPr>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工信部信管函〔2023〕26号，成文日期为2023年2月6日</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　　二、提升全链条管理能力，营造健康服务生态</w:t>
      </w:r>
    </w:p>
    <w:p w14:paraId="1A87C757">
      <w:pPr>
        <w:numPr>
          <w:ilvl w:val="0"/>
          <w:numId w:val="0"/>
        </w:numPr>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(一)落实APP开发运营者主体责任</w:t>
      </w:r>
    </w:p>
    <w:p w14:paraId="758C0C94">
      <w:pPr>
        <w:numPr>
          <w:ilvl w:val="0"/>
          <w:numId w:val="0"/>
        </w:numPr>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1.完善内部管理机制。明确用户服务和权益保护的牵头管理部门和负责人，建立全生命周期个人信息保护机制，健全考核问责制度，将相关法规政策要求落实到产品研发、推广和运营各环节，不断提高合规水平。定期对个人信息保护措施及执行情况等进行合规审计，有效防范风险隐患。</w:t>
      </w:r>
    </w:p>
    <w:p w14:paraId="2B49E92C">
      <w:pPr>
        <w:numPr>
          <w:ilvl w:val="0"/>
          <w:numId w:val="0"/>
        </w:numPr>
        <w:ind w:firstLine="48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kern w:val="2"/>
          <w:sz w:val="24"/>
          <w:szCs w:val="24"/>
          <w:lang w:val="en-US" w:eastAsia="zh-CN" w:bidi="ar-SA"/>
        </w:rPr>
        <w:t>2.增强技术保障能力。采取访问控制、技术加密、去标识化等安全技术措施，加强前端和后端安全防护。主动监测发现个人信息泄露、窃取、篡改、毁损、丢失、非法使用等风险威胁，及时响应处置要求。</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fldChar w:fldCharType="begin"/>
      </w:r>
      <w:r>
        <w:rPr>
          <w:rFonts w:hint="eastAsia" w:ascii="宋体" w:hAnsi="宋体" w:eastAsia="宋体" w:cs="宋体"/>
          <w:b w:val="0"/>
          <w:bCs w:val="0"/>
          <w:kern w:val="2"/>
          <w:sz w:val="24"/>
          <w:szCs w:val="24"/>
          <w:lang w:val="en-US" w:eastAsia="zh-CN" w:bidi="ar-SA"/>
        </w:rPr>
        <w:instrText xml:space="preserve"> HYPERLINK "https://www.gov.cn/zhengce/zhengceku/2023-03/02/content_5744106.htm" </w:instrText>
      </w:r>
      <w:r>
        <w:rPr>
          <w:rFonts w:hint="eastAsia" w:ascii="宋体" w:hAnsi="宋体" w:eastAsia="宋体" w:cs="宋体"/>
          <w:b w:val="0"/>
          <w:bCs w:val="0"/>
          <w:kern w:val="2"/>
          <w:sz w:val="24"/>
          <w:szCs w:val="24"/>
          <w:lang w:val="en-US" w:eastAsia="zh-CN" w:bidi="ar-SA"/>
        </w:rPr>
        <w:fldChar w:fldCharType="separate"/>
      </w:r>
      <w:r>
        <w:rPr>
          <w:rStyle w:val="16"/>
          <w:rFonts w:hint="eastAsia" w:ascii="宋体" w:hAnsi="宋体" w:eastAsia="宋体" w:cs="宋体"/>
          <w:b w:val="0"/>
          <w:bCs w:val="0"/>
          <w:kern w:val="2"/>
          <w:sz w:val="24"/>
          <w:szCs w:val="24"/>
          <w:lang w:val="en-US" w:eastAsia="zh-CN" w:bidi="ar-SA"/>
        </w:rPr>
        <w:t>https://www.gov.cn/zhengce/zhengceku/2023-03/02/content_5744106.htm</w:t>
      </w:r>
      <w:r>
        <w:rPr>
          <w:rFonts w:hint="eastAsia" w:ascii="宋体" w:hAnsi="宋体" w:eastAsia="宋体" w:cs="宋体"/>
          <w:b w:val="0"/>
          <w:bCs w:val="0"/>
          <w:kern w:val="2"/>
          <w:sz w:val="24"/>
          <w:szCs w:val="24"/>
          <w:lang w:val="en-US" w:eastAsia="zh-CN" w:bidi="ar-SA"/>
        </w:rPr>
        <w:fldChar w:fldCharType="end"/>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《商务部 中央网信办 发展改革委关于印发＜“十四五”电子商务发展规划＞的通知》</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商电发〔2021〕191号，成文日期为2021年10月09日</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　　</w:t>
      </w:r>
      <w:r>
        <w:rPr>
          <w:rFonts w:hint="eastAsia" w:ascii="宋体" w:hAnsi="宋体" w:eastAsia="宋体" w:cs="宋体"/>
          <w:b w:val="0"/>
          <w:bCs w:val="0"/>
          <w:sz w:val="24"/>
          <w:szCs w:val="24"/>
          <w:lang w:val="en-US" w:eastAsia="zh-CN"/>
        </w:rPr>
        <w:t>·探索建立电子商务平台网络安全防护和金融风险预警机制，支持电子商务相关企业研究多属性的安全认证技术，充分发挥密码在保障网络信息安全方面的作用。加强电子商务企业数据全生命周期管理，建立相应管理制度及安全防护措施，保障网上购物的个人信息和重要数据安全。开展数据出境安全评估能力建设，保障电子商务领域重要数据、个人信息的有序安全流动。指导电子商务企业树牢安全生产意识，完善安全风险治理体系，提升安全生产工作水平。</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"http://www.gov.cn/zhengce/zhengceku/2021-10/27/content_5645853.htm"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http://www.gov.cn/zhengce/zhengceku/2021-10/27/content_5645853.htm</w:t>
      </w:r>
      <w:r>
        <w:rPr>
          <w:rFonts w:hint="eastAsia" w:ascii="宋体" w:hAnsi="宋体" w:eastAsia="宋体" w:cs="宋体"/>
          <w:b w:val="0"/>
          <w:bCs w:val="0"/>
          <w:sz w:val="24"/>
          <w:szCs w:val="24"/>
          <w:lang w:val="en-US" w:eastAsia="zh-CN"/>
        </w:rPr>
        <w:fldChar w:fldCharType="end"/>
      </w:r>
    </w:p>
    <w:p w14:paraId="32CA6EBC">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lang w:val="en-US" w:eastAsia="zh-CN"/>
        </w:rPr>
        <w:t>《国家知识产权局关于印发知识产权公共服务“十四五”规划的通知》</w:t>
      </w:r>
    </w:p>
    <w:p w14:paraId="248A59DF">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国知发服字〔2021〕39号，成文日期为2021年12月31日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·全面落实《网络安全法》《数据安全法》《个人信息保护法》《密码法》等法律法规和网络安全等级保护制度，加强网络安全等级保护第三级及以上网络、信息系统和重要数据的安全防护。</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·加强对云计算、大数据、区块链、人工智能等新技术新应用的安全防护，确保其技术、产品、服务和供应链安全。积极推进国产密码技术和产品应用，提升使用密码技术保障网络与数据安全的水平。</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"http://www.gov.cn/zhengce/zhengceku/2022-01/09/content_5667251.htm"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http://www.gov.cn/zhengce/zhengceku/2022-01/09/content_5667251.htm</w:t>
      </w:r>
      <w:r>
        <w:rPr>
          <w:rFonts w:hint="eastAsia" w:ascii="宋体" w:hAnsi="宋体" w:eastAsia="宋体" w:cs="宋体"/>
          <w:b w:val="0"/>
          <w:bCs w:val="0"/>
          <w:sz w:val="24"/>
          <w:szCs w:val="24"/>
          <w:lang w:val="en-US" w:eastAsia="zh-CN"/>
        </w:rPr>
        <w:fldChar w:fldCharType="end"/>
      </w:r>
    </w:p>
    <w:p w14:paraId="1FD46ABD">
      <w:pPr>
        <w:numPr>
          <w:ilvl w:val="0"/>
          <w:numId w:val="0"/>
        </w:numPr>
        <w:jc w:val="left"/>
        <w:rPr>
          <w:rFonts w:hint="eastAsia" w:ascii="宋体" w:hAnsi="宋体" w:eastAsia="宋体" w:cs="宋体"/>
          <w:b w:val="0"/>
          <w:bCs w:val="0"/>
          <w:sz w:val="24"/>
          <w:szCs w:val="24"/>
          <w:lang w:val="en-US" w:eastAsia="zh-CN"/>
        </w:rPr>
      </w:pPr>
    </w:p>
    <w:p w14:paraId="39CDF214">
      <w:pPr>
        <w:numPr>
          <w:ilvl w:val="0"/>
          <w:numId w:val="0"/>
        </w:numPr>
        <w:jc w:val="left"/>
        <w:rPr>
          <w:rStyle w:val="16"/>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《国家新闻出版署关于印发＜出版业“十四五”时期发展规划＞的通知》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国新出发〔2021〕20号，成文日期为2021年12月31日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·出版领域区块链技术创新应用工程: 推动智能合约、共识算法、加密算法、分布式系统等区块链技术在出版产业中的创新应用, 以联盟链为重点, 发展区块链服务平台, 完善数字资产与供应链管理, 健全行业监管机制, 提高出版(版权)管理水平。</w:t>
      </w:r>
      <w:r>
        <w:rPr>
          <w:rFonts w:hint="eastAsia" w:ascii="宋体" w:hAnsi="宋体" w:eastAsia="宋体" w:cs="宋体"/>
          <w:b w:val="0"/>
          <w:bCs w:val="0"/>
          <w:sz w:val="24"/>
          <w:szCs w:val="24"/>
          <w:lang w:val="en-US" w:eastAsia="zh-CN"/>
        </w:rPr>
        <w:br w:type="textWrapping"/>
      </w:r>
      <w:r>
        <w:rPr>
          <w:rStyle w:val="16"/>
          <w:rFonts w:hint="eastAsia" w:ascii="宋体" w:hAnsi="宋体" w:eastAsia="宋体" w:cs="宋体"/>
          <w:b w:val="0"/>
          <w:bCs w:val="0"/>
          <w:sz w:val="24"/>
          <w:szCs w:val="24"/>
          <w:lang w:val="en-US" w:eastAsia="zh-CN"/>
        </w:rPr>
        <w:fldChar w:fldCharType="begin"/>
      </w:r>
      <w:r>
        <w:rPr>
          <w:rStyle w:val="16"/>
          <w:rFonts w:hint="eastAsia" w:ascii="宋体" w:hAnsi="宋体" w:eastAsia="宋体" w:cs="宋体"/>
          <w:b w:val="0"/>
          <w:bCs w:val="0"/>
          <w:sz w:val="24"/>
          <w:szCs w:val="24"/>
          <w:lang w:val="en-US" w:eastAsia="zh-CN"/>
        </w:rPr>
        <w:instrText xml:space="preserve"> HYPERLINK "https://www.nppa.gov.cn/nppa/contents/279/102953.shtml" </w:instrText>
      </w:r>
      <w:r>
        <w:rPr>
          <w:rStyle w:val="16"/>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https://www.nppa.gov.cn/nppa/contents/279/102953.shtml</w:t>
      </w:r>
      <w:r>
        <w:rPr>
          <w:rStyle w:val="16"/>
          <w:rFonts w:hint="eastAsia" w:ascii="宋体" w:hAnsi="宋体" w:eastAsia="宋体" w:cs="宋体"/>
          <w:b w:val="0"/>
          <w:bCs w:val="0"/>
          <w:sz w:val="24"/>
          <w:szCs w:val="24"/>
          <w:lang w:val="en-US" w:eastAsia="zh-CN"/>
        </w:rPr>
        <w:fldChar w:fldCharType="end"/>
      </w:r>
    </w:p>
    <w:p w14:paraId="4F619DD1">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《住房和城乡建设部等部门关于推动物业服务企业加快发展线上线下生活服务的意见》</w:t>
      </w:r>
    </w:p>
    <w:p w14:paraId="56A12E4B">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建房〔2020〕99号，成文日期为2020年12月4日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保障平台安全运营。严格落实网络和数据安全法律法规和政策标准，建立健全安全管理制度，采用国产密码技术，增强安全可控技术和产品应用，加强日常监测和安全演练，确保智慧物业管理服务平台网络和数据安全。</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"http://www.gov.cn/zhengce/zhengceku/2020-12/19/content_5571261.htm"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http://www.gov.cn/zhengce/zhengceku/2020-12/19/content_5571261.htm</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lang w:val="en-US" w:eastAsia="zh-CN"/>
        </w:rPr>
        <w:t>《工业和信息化部关于印发“十四五”软件和信息技术服务业发展规划的通知》</w:t>
      </w:r>
    </w:p>
    <w:p w14:paraId="073EA2A2">
      <w:pPr>
        <w:jc w:val="left"/>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b w:val="0"/>
          <w:bCs w:val="0"/>
          <w:sz w:val="24"/>
          <w:szCs w:val="24"/>
          <w:lang w:val="en-US" w:eastAsia="zh-CN"/>
        </w:rPr>
        <w:t>工信部规〔2021〕180号，成文日期为2021年11月15日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·加快区块链共识算法、加密算法、高效安全智能合约、分布式系统 等关键技术研发。支持区块链底层技术平台、区块链服务平台等建设。加强金融 科技、供应链管理、政府服务等重点领域应用。</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"http://www.gov.cn/zhengce/zhengceku/2021-12/01/content_5655205.htm"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http://www.gov.cn/zhengce/zhengceku/2021-12/01/content_5655205.htm</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i w:val="0"/>
          <w:iCs w:val="0"/>
          <w:caps w:val="0"/>
          <w:color w:val="333333"/>
          <w:spacing w:val="0"/>
          <w:sz w:val="24"/>
          <w:szCs w:val="24"/>
          <w:shd w:val="clear" w:fill="FFFFFF"/>
        </w:rPr>
        <w:t>《邮政业寄递安全监督管理办法》</w:t>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i w:val="0"/>
          <w:iCs w:val="0"/>
          <w:caps w:val="0"/>
          <w:color w:val="333333"/>
          <w:spacing w:val="0"/>
          <w:sz w:val="24"/>
          <w:szCs w:val="24"/>
          <w:shd w:val="clear" w:fill="FFFFFF"/>
          <w:lang w:val="en-US" w:eastAsia="zh-CN"/>
        </w:rPr>
        <w:t>中华人民共和国交通运输部令2020年第1号，</w:t>
      </w:r>
      <w:r>
        <w:rPr>
          <w:rFonts w:hint="eastAsia" w:ascii="宋体" w:hAnsi="宋体" w:eastAsia="宋体" w:cs="宋体"/>
          <w:i w:val="0"/>
          <w:iCs w:val="0"/>
          <w:caps w:val="0"/>
          <w:color w:val="333333"/>
          <w:spacing w:val="0"/>
          <w:sz w:val="24"/>
          <w:szCs w:val="24"/>
          <w:shd w:val="clear" w:fill="FFFFFF"/>
        </w:rPr>
        <w:t>自2020年2月15日起施行</w:t>
      </w:r>
      <w:r>
        <w:rPr>
          <w:rFonts w:hint="eastAsia" w:ascii="宋体" w:hAnsi="宋体" w:eastAsia="宋体" w:cs="宋体"/>
          <w:i w:val="0"/>
          <w:iCs w:val="0"/>
          <w:caps w:val="0"/>
          <w:color w:val="333333"/>
          <w:spacing w:val="0"/>
          <w:sz w:val="24"/>
          <w:szCs w:val="24"/>
          <w:shd w:val="clear" w:fill="FFFFFF"/>
          <w:lang w:val="en-US" w:eastAsia="zh-CN"/>
        </w:rPr>
        <w:br w:type="textWrapping"/>
      </w:r>
      <w:r>
        <w:rPr>
          <w:rFonts w:hint="eastAsia" w:ascii="宋体" w:hAnsi="宋体" w:eastAsia="宋体" w:cs="宋体"/>
          <w:b w:val="0"/>
          <w:bCs w:val="0"/>
          <w:sz w:val="24"/>
          <w:szCs w:val="24"/>
          <w:lang w:val="en-US" w:eastAsia="zh-CN"/>
        </w:rPr>
        <w:t>　　</w:t>
      </w:r>
      <w:r>
        <w:rPr>
          <w:rFonts w:hint="eastAsia" w:ascii="宋体" w:hAnsi="宋体" w:eastAsia="宋体" w:cs="宋体"/>
          <w:i w:val="0"/>
          <w:iCs w:val="0"/>
          <w:caps w:val="0"/>
          <w:color w:val="333333"/>
          <w:spacing w:val="0"/>
          <w:sz w:val="24"/>
          <w:szCs w:val="24"/>
          <w:shd w:val="clear" w:fill="FFFFFF"/>
          <w:lang w:val="en-US" w:eastAsia="zh-CN"/>
        </w:rPr>
        <w:t>第二十二条　邮政企业、快递企业应当按照国家网络安全等级保护制度的要求，履行下列安全保</w:t>
      </w:r>
      <w:bookmarkStart w:id="15" w:name="_GoBack"/>
      <w:bookmarkEnd w:id="15"/>
      <w:r>
        <w:rPr>
          <w:rFonts w:hint="eastAsia" w:ascii="宋体" w:hAnsi="宋体" w:eastAsia="宋体" w:cs="宋体"/>
          <w:i w:val="0"/>
          <w:iCs w:val="0"/>
          <w:caps w:val="0"/>
          <w:color w:val="333333"/>
          <w:spacing w:val="0"/>
          <w:sz w:val="24"/>
          <w:szCs w:val="24"/>
          <w:shd w:val="clear" w:fill="FFFFFF"/>
          <w:lang w:val="en-US" w:eastAsia="zh-CN"/>
        </w:rPr>
        <w:t>护义务，保障其网络免受干扰、破坏或者未经授权的访问，防止网络数据泄露或者被窃取、篡改：</w:t>
      </w:r>
    </w:p>
    <w:p w14:paraId="5FB47634">
      <w:pPr>
        <w:ind w:left="479" w:leftChars="228" w:firstLine="0" w:firstLineChars="0"/>
        <w:jc w:val="left"/>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w:t>
      </w:r>
      <w:r>
        <w:rPr>
          <w:rFonts w:hint="eastAsia" w:ascii="宋体" w:hAnsi="宋体" w:eastAsia="宋体" w:cs="宋体"/>
          <w:i w:val="0"/>
          <w:iCs w:val="0"/>
          <w:caps w:val="0"/>
          <w:color w:val="333333"/>
          <w:spacing w:val="0"/>
          <w:sz w:val="24"/>
          <w:szCs w:val="24"/>
          <w:shd w:val="clear" w:fill="FFFFFF"/>
          <w:lang w:val="en-US" w:eastAsia="zh-CN"/>
        </w:rPr>
        <w:br w:type="textWrapping"/>
      </w:r>
      <w:r>
        <w:rPr>
          <w:rFonts w:hint="eastAsia" w:ascii="宋体" w:hAnsi="宋体" w:eastAsia="宋体" w:cs="宋体"/>
          <w:i w:val="0"/>
          <w:iCs w:val="0"/>
          <w:caps w:val="0"/>
          <w:color w:val="333333"/>
          <w:spacing w:val="0"/>
          <w:sz w:val="24"/>
          <w:szCs w:val="24"/>
          <w:shd w:val="clear" w:fill="FFFFFF"/>
          <w:lang w:val="en-US" w:eastAsia="zh-CN"/>
        </w:rPr>
        <w:t>（四）采取数据分类、重要数据备份和加密等措施；</w:t>
      </w:r>
    </w:p>
    <w:p w14:paraId="3684A99C">
      <w:pPr>
        <w:ind w:firstLine="480" w:firstLineChars="200"/>
        <w:jc w:val="left"/>
        <w:rPr>
          <w:rFonts w:hint="eastAsia" w:ascii="宋体" w:hAnsi="宋体" w:eastAsia="宋体" w:cs="宋体"/>
          <w:b w:val="0"/>
          <w:bCs w:val="0"/>
          <w:sz w:val="24"/>
          <w:szCs w:val="24"/>
          <w:shd w:val="clear" w:color="FFFFFF" w:fill="D9D9D9"/>
          <w:lang w:val="en-US" w:eastAsia="zh-CN"/>
        </w:rPr>
      </w:pPr>
      <w:r>
        <w:rPr>
          <w:rFonts w:hint="eastAsia" w:ascii="宋体" w:hAnsi="宋体" w:eastAsia="宋体" w:cs="宋体"/>
          <w:i w:val="0"/>
          <w:iCs w:val="0"/>
          <w:caps w:val="0"/>
          <w:color w:val="333333"/>
          <w:spacing w:val="0"/>
          <w:sz w:val="24"/>
          <w:szCs w:val="24"/>
          <w:shd w:val="clear" w:fill="FFFFFF"/>
          <w:lang w:val="en-US" w:eastAsia="zh-CN"/>
        </w:rPr>
        <w:t>……</w:t>
      </w:r>
      <w:r>
        <w:rPr>
          <w:rFonts w:hint="eastAsia" w:ascii="宋体" w:hAnsi="宋体" w:eastAsia="宋体" w:cs="宋体"/>
          <w:i w:val="0"/>
          <w:iCs w:val="0"/>
          <w:caps w:val="0"/>
          <w:color w:val="333333"/>
          <w:spacing w:val="0"/>
          <w:sz w:val="24"/>
          <w:szCs w:val="24"/>
          <w:shd w:val="clear" w:fill="FFFFFF"/>
          <w:lang w:val="en-US" w:eastAsia="zh-CN"/>
        </w:rPr>
        <w:br w:type="textWrapping"/>
      </w:r>
      <w:r>
        <w:rPr>
          <w:rFonts w:hint="eastAsia" w:ascii="宋体" w:hAnsi="宋体" w:eastAsia="宋体" w:cs="宋体"/>
          <w:i w:val="0"/>
          <w:iCs w:val="0"/>
          <w:caps w:val="0"/>
          <w:color w:val="333333"/>
          <w:spacing w:val="0"/>
          <w:sz w:val="24"/>
          <w:szCs w:val="24"/>
          <w:shd w:val="clear" w:fill="FFFFFF"/>
          <w:lang w:val="en-US" w:eastAsia="zh-CN"/>
        </w:rPr>
        <w:fldChar w:fldCharType="begin"/>
      </w:r>
      <w:r>
        <w:rPr>
          <w:rFonts w:hint="eastAsia" w:ascii="宋体" w:hAnsi="宋体" w:eastAsia="宋体" w:cs="宋体"/>
          <w:i w:val="0"/>
          <w:iCs w:val="0"/>
          <w:caps w:val="0"/>
          <w:color w:val="333333"/>
          <w:spacing w:val="0"/>
          <w:sz w:val="24"/>
          <w:szCs w:val="24"/>
          <w:shd w:val="clear" w:fill="FFFFFF"/>
          <w:lang w:val="en-US" w:eastAsia="zh-CN"/>
        </w:rPr>
        <w:instrText xml:space="preserve"> HYPERLINK "https://www.gov.cn/gongbao/content/2020/content_5509721.htm" </w:instrText>
      </w:r>
      <w:r>
        <w:rPr>
          <w:rFonts w:hint="eastAsia" w:ascii="宋体" w:hAnsi="宋体" w:eastAsia="宋体" w:cs="宋体"/>
          <w:i w:val="0"/>
          <w:iCs w:val="0"/>
          <w:caps w:val="0"/>
          <w:color w:val="333333"/>
          <w:spacing w:val="0"/>
          <w:sz w:val="24"/>
          <w:szCs w:val="24"/>
          <w:shd w:val="clear" w:fill="FFFFFF"/>
          <w:lang w:val="en-US" w:eastAsia="zh-CN"/>
        </w:rPr>
        <w:fldChar w:fldCharType="separate"/>
      </w:r>
      <w:r>
        <w:rPr>
          <w:rStyle w:val="16"/>
          <w:rFonts w:hint="eastAsia" w:ascii="宋体" w:hAnsi="宋体" w:eastAsia="宋体" w:cs="宋体"/>
          <w:i w:val="0"/>
          <w:iCs w:val="0"/>
          <w:caps w:val="0"/>
          <w:spacing w:val="0"/>
          <w:sz w:val="24"/>
          <w:szCs w:val="24"/>
          <w:shd w:val="clear" w:fill="FFFFFF"/>
          <w:lang w:val="en-US" w:eastAsia="zh-CN"/>
        </w:rPr>
        <w:t>https://www.gov.cn/gongbao/content/2020/content_5509721.htm</w:t>
      </w:r>
      <w:r>
        <w:rPr>
          <w:rFonts w:hint="eastAsia" w:ascii="宋体" w:hAnsi="宋体" w:eastAsia="宋体" w:cs="宋体"/>
          <w:i w:val="0"/>
          <w:iCs w:val="0"/>
          <w:caps w:val="0"/>
          <w:color w:val="333333"/>
          <w:spacing w:val="0"/>
          <w:sz w:val="24"/>
          <w:szCs w:val="24"/>
          <w:shd w:val="clear" w:fill="FFFFFF"/>
          <w:lang w:val="en-US" w:eastAsia="zh-CN"/>
        </w:rPr>
        <w:fldChar w:fldCharType="end"/>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p>
    <w:p w14:paraId="37F8ED6F">
      <w:pPr>
        <w:jc w:val="left"/>
        <w:rPr>
          <w:rStyle w:val="17"/>
          <w:rFonts w:hint="eastAsia"/>
          <w:lang w:val="en-US" w:eastAsia="zh-CN"/>
        </w:rPr>
      </w:pPr>
      <w:r>
        <w:rPr>
          <w:rStyle w:val="17"/>
          <w:rFonts w:hint="eastAsia"/>
          <w:lang w:val="en-US" w:eastAsia="zh-CN"/>
        </w:rPr>
        <w:t>四、信息惠民密码应用</w:t>
      </w:r>
    </w:p>
    <w:p w14:paraId="23A418EC">
      <w:pPr>
        <w:pStyle w:val="3"/>
        <w:bidi w:val="0"/>
        <w:rPr>
          <w:rFonts w:hint="eastAsia"/>
          <w:sz w:val="24"/>
          <w:szCs w:val="32"/>
          <w:lang w:val="en-US" w:eastAsia="zh-CN"/>
        </w:rPr>
      </w:pPr>
      <w:bookmarkStart w:id="11" w:name="_Toc16103"/>
      <w:r>
        <w:rPr>
          <w:rFonts w:hint="eastAsia"/>
          <w:sz w:val="24"/>
          <w:szCs w:val="32"/>
          <w:lang w:val="en-US" w:eastAsia="zh-CN"/>
        </w:rPr>
        <w:t>（一）电子政务密码应用</w:t>
      </w:r>
      <w:bookmarkEnd w:id="11"/>
    </w:p>
    <w:p w14:paraId="59D9699D">
      <w:pPr>
        <w:numPr>
          <w:ilvl w:val="0"/>
          <w:numId w:val="0"/>
        </w:numPr>
        <w:jc w:val="left"/>
        <w:outlineLvl w:val="1"/>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《中共中央办公厅 国务院办公厅关于加快公共数据资源开发利用的意见》</w:t>
      </w:r>
    </w:p>
    <w:p w14:paraId="15A04979">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发文时间：2024年9月21日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十六）增强支撑能力。加快建立数据产权归属认定、市场交易、权益分配、利益保护制度。统筹数据领域标准体系建设管理，组织开展相关标准研制、宣传、执行和评价。依托国家重点研发计划、国家科技重大专项等，开展数据加密、可信流通、安全治理等关键技术研究和攻关。加强数据领域人才队伍建设，将提高做好数据工作的能力纳入干部教育培训内容。积极参与国际交流合作，推动公共数据国际治理规则、国际标准制定。</w:t>
      </w:r>
    </w:p>
    <w:p w14:paraId="58584B65">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"https://www.gov.cn/gongbao/2024/issue_11666/202410/content_6983475.html"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https://www.gov.cn/gongbao/2024/issue_11666/202410/content_6983475.html</w:t>
      </w:r>
      <w:r>
        <w:rPr>
          <w:rFonts w:hint="eastAsia" w:ascii="宋体" w:hAnsi="宋体" w:eastAsia="宋体" w:cs="宋体"/>
          <w:b w:val="0"/>
          <w:bCs w:val="0"/>
          <w:sz w:val="24"/>
          <w:szCs w:val="24"/>
          <w:lang w:val="en-US" w:eastAsia="zh-CN"/>
        </w:rPr>
        <w:fldChar w:fldCharType="end"/>
      </w:r>
    </w:p>
    <w:p w14:paraId="23CD23AF">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《国务院办公厅关于印发＜政务服务电子文件归档和电子档案管理办法＞的通知》</w:t>
      </w:r>
    </w:p>
    <w:p w14:paraId="106861C2">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国办发〔2023〕26号，自2023年7月30日起施行</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第九条　政务服务电子文件归档格式应当符合国家标准规范，并且通用、开放、不绑定软硬件。加密的政务服务电子文件应当解除加密技术手段后归档。</w:t>
      </w:r>
    </w:p>
    <w:p w14:paraId="452F50E1">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政务服务电子文件归档一般采用在线实时归档方式，不具备在线归档条件的，可以采用离线归档方式，归档时间最迟不能超过办理完毕后的第二年6月底。</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第十一条　各级政务服务机构应当做好本单位政务服务电子档案安全管理工作，定期开展电子档案备份，做好电子档案登记、日常检查、转换、迁移、鉴定、销毁等工作。政务服务电子文件办理过程中应当按照国家有关法律法规要求，规范使用密码技术进行保护。</w:t>
      </w:r>
      <w:r>
        <w:rPr>
          <w:rFonts w:hint="eastAsia" w:ascii="宋体" w:hAnsi="宋体" w:eastAsia="宋体" w:cs="宋体"/>
          <w:b w:val="0"/>
          <w:bCs w:val="0"/>
          <w:sz w:val="24"/>
          <w:szCs w:val="24"/>
          <w:lang w:val="en-US" w:eastAsia="zh-CN"/>
        </w:rPr>
        <w:br w:type="textWrapping"/>
      </w:r>
      <w:r>
        <w:rPr>
          <w:rFonts w:hint="eastAsia" w:ascii="宋体" w:hAnsi="宋体" w:eastAsia="宋体" w:cs="宋体"/>
          <w:i w:val="0"/>
          <w:iCs w:val="0"/>
          <w:caps w:val="0"/>
          <w:color w:val="333333"/>
          <w:spacing w:val="0"/>
          <w:sz w:val="24"/>
          <w:szCs w:val="24"/>
          <w:shd w:val="clear" w:fill="FFFFFF"/>
          <w:lang w:val="en-US" w:eastAsia="zh-CN"/>
        </w:rPr>
        <w:fldChar w:fldCharType="begin"/>
      </w:r>
      <w:r>
        <w:rPr>
          <w:rFonts w:hint="eastAsia" w:ascii="宋体" w:hAnsi="宋体" w:eastAsia="宋体" w:cs="宋体"/>
          <w:i w:val="0"/>
          <w:iCs w:val="0"/>
          <w:caps w:val="0"/>
          <w:color w:val="333333"/>
          <w:spacing w:val="0"/>
          <w:sz w:val="24"/>
          <w:szCs w:val="24"/>
          <w:shd w:val="clear" w:fill="FFFFFF"/>
          <w:lang w:val="en-US" w:eastAsia="zh-CN"/>
        </w:rPr>
        <w:instrText xml:space="preserve"> HYPERLINK "https://www.gov.cn/gongbao/2023/issue_10686/202309/content_6902579.html" </w:instrText>
      </w:r>
      <w:r>
        <w:rPr>
          <w:rFonts w:hint="eastAsia" w:ascii="宋体" w:hAnsi="宋体" w:eastAsia="宋体" w:cs="宋体"/>
          <w:i w:val="0"/>
          <w:iCs w:val="0"/>
          <w:caps w:val="0"/>
          <w:color w:val="333333"/>
          <w:spacing w:val="0"/>
          <w:sz w:val="24"/>
          <w:szCs w:val="24"/>
          <w:shd w:val="clear" w:fill="FFFFFF"/>
          <w:lang w:val="en-US" w:eastAsia="zh-CN"/>
        </w:rPr>
        <w:fldChar w:fldCharType="separate"/>
      </w:r>
      <w:r>
        <w:rPr>
          <w:rStyle w:val="16"/>
          <w:rFonts w:hint="eastAsia" w:ascii="宋体" w:hAnsi="宋体" w:eastAsia="宋体" w:cs="宋体"/>
          <w:i w:val="0"/>
          <w:iCs w:val="0"/>
          <w:caps w:val="0"/>
          <w:spacing w:val="0"/>
          <w:sz w:val="24"/>
          <w:szCs w:val="24"/>
          <w:shd w:val="clear" w:fill="FFFFFF"/>
          <w:lang w:val="en-US" w:eastAsia="zh-CN"/>
        </w:rPr>
        <w:t>https://www.gov.cn/gongbao/2023/issue_10686/202309/content_6902579.html</w:t>
      </w:r>
      <w:r>
        <w:rPr>
          <w:rFonts w:hint="eastAsia" w:ascii="宋体" w:hAnsi="宋体" w:eastAsia="宋体" w:cs="宋体"/>
          <w:i w:val="0"/>
          <w:iCs w:val="0"/>
          <w:caps w:val="0"/>
          <w:color w:val="333333"/>
          <w:spacing w:val="0"/>
          <w:sz w:val="24"/>
          <w:szCs w:val="24"/>
          <w:shd w:val="clear" w:fill="FFFFFF"/>
          <w:lang w:val="en-US" w:eastAsia="zh-CN"/>
        </w:rPr>
        <w:fldChar w:fldCharType="end"/>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《国务院关于加强数字政府建设的指导意见》</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国发〔2022〕14号，成文日期为2022年6月6日</w:t>
      </w:r>
    </w:p>
    <w:p w14:paraId="16119A4F">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加强关键信息基础设施安全保护和网络安全等级保护，建立健全网络安全、保密监测预警和密码应用安全性评估的机制，定期开展网络安全、保密和密码应用检查，提升数字政府领域关键信息基础设施保护水平。</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"http://www.gov.cn/zhengce/zhengceku/2022-06/23/content_5697299.htm"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http://www.gov.cn/zhengce/zhengceku/2022-06/23/content_5697299.htm</w:t>
      </w:r>
      <w:r>
        <w:rPr>
          <w:rFonts w:hint="eastAsia" w:ascii="宋体" w:hAnsi="宋体" w:eastAsia="宋体" w:cs="宋体"/>
          <w:b w:val="0"/>
          <w:bCs w:val="0"/>
          <w:sz w:val="24"/>
          <w:szCs w:val="24"/>
          <w:lang w:val="en-US" w:eastAsia="zh-CN"/>
        </w:rPr>
        <w:fldChar w:fldCharType="end"/>
      </w:r>
    </w:p>
    <w:p w14:paraId="73677842">
      <w:pPr>
        <w:jc w:val="left"/>
        <w:rPr>
          <w:rFonts w:hint="eastAsia" w:ascii="宋体" w:hAnsi="宋体" w:eastAsia="宋体" w:cs="宋体"/>
          <w:b w:val="0"/>
          <w:bCs w:val="0"/>
          <w:sz w:val="24"/>
          <w:szCs w:val="24"/>
          <w:lang w:val="en-US" w:eastAsia="zh-CN"/>
        </w:rPr>
      </w:pPr>
    </w:p>
    <w:p w14:paraId="39E9CFEF">
      <w:pPr>
        <w:jc w:val="left"/>
        <w:rPr>
          <w:rFonts w:hint="eastAsia" w:ascii="宋体" w:hAnsi="宋体" w:eastAsia="宋体" w:cs="宋体"/>
          <w:b w:val="0"/>
          <w:bCs w:val="0"/>
          <w:sz w:val="24"/>
          <w:szCs w:val="24"/>
          <w:lang w:val="en-US" w:eastAsia="zh-CN"/>
        </w:rPr>
      </w:pPr>
    </w:p>
    <w:p w14:paraId="36B8299A">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《国务院办公厅关于加快推进电子证照扩大应用领域和全国互通互认的意见》</w:t>
      </w:r>
    </w:p>
    <w:p w14:paraId="7223A5AC">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国办发〔2022〕3号，成文日期为2022年1月20日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·建立健全涵盖电子证照应用业务、数据、技术、管理、安全等的标准体系，制定电子证照签章、电子印章密码应用等规范，完善电子证照在移动服务、自助服务等领域的使用规范。</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加强电子证照签发、归集、存储、使用等各环节安全管理，严格落实网络安全等级保护制度等要求，强化密码应用安全性评估，探索运用区块链、新兴密码技术、隐私计算等手段提升电子证照安全防护、追踪溯源和精准授权等能力。</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"http://www.gov.cn/zhengce/zhengceku/2022-02/22/content_5674998.htm"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http://www.gov.cn/zhengce/zhengceku/2022-02/22/content_5674998.htm</w:t>
      </w:r>
      <w:r>
        <w:rPr>
          <w:rFonts w:hint="eastAsia" w:ascii="宋体" w:hAnsi="宋体" w:eastAsia="宋体" w:cs="宋体"/>
          <w:b w:val="0"/>
          <w:bCs w:val="0"/>
          <w:sz w:val="24"/>
          <w:szCs w:val="24"/>
          <w:lang w:val="en-US" w:eastAsia="zh-CN"/>
        </w:rPr>
        <w:fldChar w:fldCharType="end"/>
      </w:r>
    </w:p>
    <w:p w14:paraId="76C5B562">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《国务院办公厅关于印发全国一体化政务服务平台移动端建设指南的通知》</w:t>
      </w:r>
    </w:p>
    <w:p w14:paraId="135874B9">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国办函〔2021〕105号，成文日期为2021年9月29日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各地区和国务院有关部门要综合利用密码技术、安全审计等手段强化本地区本部门政务服务平台移动端安全保障和风险防控能力，构建全方位、多层次、一致性的防护体系，切实保障全国一体化平台移动端安全平稳高效运行。</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"http://www.gov.cn/zhengce/zhengceku/2021-11/12/content_5650485.htm"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http://www.gov.cn/zhengce/zhengceku/2021-11/12/content_5650485.htm</w:t>
      </w:r>
      <w:r>
        <w:rPr>
          <w:rFonts w:hint="eastAsia" w:ascii="宋体" w:hAnsi="宋体" w:eastAsia="宋体" w:cs="宋体"/>
          <w:b w:val="0"/>
          <w:bCs w:val="0"/>
          <w:sz w:val="24"/>
          <w:szCs w:val="24"/>
          <w:lang w:val="en-US" w:eastAsia="zh-CN"/>
        </w:rPr>
        <w:fldChar w:fldCharType="end"/>
      </w:r>
    </w:p>
    <w:p w14:paraId="6B56626E">
      <w:pPr>
        <w:jc w:val="left"/>
        <w:rPr>
          <w:rFonts w:hint="eastAsia" w:ascii="宋体" w:hAnsi="宋体" w:eastAsia="宋体" w:cs="宋体"/>
          <w:b w:val="0"/>
          <w:bCs w:val="0"/>
          <w:sz w:val="24"/>
          <w:szCs w:val="24"/>
          <w:lang w:val="en-US" w:eastAsia="zh-CN"/>
        </w:rPr>
      </w:pPr>
    </w:p>
    <w:p w14:paraId="7ADE72B1">
      <w:pPr>
        <w:jc w:val="left"/>
        <w:rPr>
          <w:rFonts w:hint="eastAsia" w:ascii="宋体" w:hAnsi="宋体" w:eastAsia="宋体" w:cs="宋体"/>
          <w:b w:val="0"/>
          <w:bCs w:val="0"/>
          <w:sz w:val="24"/>
          <w:szCs w:val="24"/>
          <w:lang w:val="en-US" w:eastAsia="zh-CN"/>
        </w:rPr>
      </w:pPr>
    </w:p>
    <w:p w14:paraId="19771FAB">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《国务院办公厅关于印发国家政务信息化项目建设管理办法的通知》</w:t>
      </w:r>
    </w:p>
    <w:p w14:paraId="07231AAE">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国办发〔2019〕57号，成文日期为2019年12月30日</w:t>
      </w:r>
    </w:p>
    <w:p w14:paraId="40DC9A6A">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·项目建设单位应当落实国家密码管理有关法律法规和标准规范的要求，同步规划、同步建设、同步运行密码保障系统并定期进行评估。</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·对于不符合密码应用和网络安全要求，或者存在重大安全隐患的政务信息系统，不安排运行维护经费，项目建设单位不得新建、改建、扩建政务信息系统。</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"http://www.gov.cn/zhengce/zhengceku/2020-01/21/content_5471256.htm"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http://www.gov.cn/zhengce/zhengceku/2020-01/21/content_5471256.htm</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p>
    <w:p w14:paraId="3D48C573">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《贯彻落实网络安全等级保护制度和关键信息基础设施安全保护制度的指导意见》</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公网安〔2020〕1960号，印发时间为2020年7月22日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落实密码安全防护要求。网络运营者应贯彻落实《密码法》等有关法律法规规定和密码应用相关标准规范。第三级以上网络应正确、有效采用密码技术进行保护，并使用符合相关要求的密码产品和服务。第三级以上网络运营者应在网络规划、建设和运行阶段，按照密码应用安全性评估管理办法和相关标准，在网络安全等级测评中同步开展密码应用安全性评估。</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"https://www.mps.gov.cn/n6557558/c7369310/content.html"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https://www.mps.gov.cn/n6557558/c7369310/content.html</w:t>
      </w:r>
      <w:r>
        <w:rPr>
          <w:rFonts w:hint="eastAsia" w:ascii="宋体" w:hAnsi="宋体" w:eastAsia="宋体" w:cs="宋体"/>
          <w:b w:val="0"/>
          <w:bCs w:val="0"/>
          <w:sz w:val="24"/>
          <w:szCs w:val="24"/>
          <w:lang w:val="en-US" w:eastAsia="zh-CN"/>
        </w:rPr>
        <w:fldChar w:fldCharType="end"/>
      </w:r>
    </w:p>
    <w:p w14:paraId="11295DE6">
      <w:pPr>
        <w:numPr>
          <w:ilvl w:val="0"/>
          <w:numId w:val="0"/>
        </w:numPr>
        <w:jc w:val="left"/>
        <w:outlineLvl w:val="1"/>
        <w:rPr>
          <w:rFonts w:hint="eastAsia" w:ascii="宋体" w:hAnsi="宋体" w:eastAsia="宋体" w:cs="宋体"/>
          <w:b w:val="0"/>
          <w:bCs w:val="0"/>
          <w:sz w:val="24"/>
          <w:szCs w:val="24"/>
          <w:lang w:val="en-US" w:eastAsia="zh-CN"/>
        </w:rPr>
      </w:pPr>
      <w:bookmarkStart w:id="12" w:name="_Toc6483"/>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《国务院办公厅关于印发＜政务服务电子文件归档和电子档案管理办法＞的通知》</w:t>
      </w:r>
    </w:p>
    <w:p w14:paraId="0E35DBC1">
      <w:pPr>
        <w:numPr>
          <w:ilvl w:val="0"/>
          <w:numId w:val="0"/>
        </w:numPr>
        <w:jc w:val="left"/>
        <w:outlineLvl w:val="1"/>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国办发〔2023〕26号，成文时间为2023年7月30日</w:t>
      </w:r>
    </w:p>
    <w:p w14:paraId="75BC8984">
      <w:pPr>
        <w:numPr>
          <w:ilvl w:val="0"/>
          <w:numId w:val="0"/>
        </w:numPr>
        <w:ind w:firstLine="480"/>
        <w:jc w:val="left"/>
        <w:outlineLvl w:val="1"/>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各级政务服务机构应当做好本单位政务服务电子档案安全管理工作，定期开展电子档案备份，做好电子档案登记、日常检查、转换、迁移、鉴定、销毁等工作。政务服务电子文件办理过程中应当按照国家有关法律法规要求，规范使用密码技术进行保护。</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"https://www.gov.cn/gongbao/2023/issue_10686/202309/content_6902579.html"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https://www.gov.cn/gongbao/2023/issue_10686/202309/content_6902579.html</w:t>
      </w:r>
      <w:r>
        <w:rPr>
          <w:rFonts w:hint="eastAsia" w:ascii="宋体" w:hAnsi="宋体" w:eastAsia="宋体" w:cs="宋体"/>
          <w:b w:val="0"/>
          <w:bCs w:val="0"/>
          <w:sz w:val="24"/>
          <w:szCs w:val="24"/>
          <w:lang w:val="en-US" w:eastAsia="zh-CN"/>
        </w:rPr>
        <w:fldChar w:fldCharType="end"/>
      </w:r>
    </w:p>
    <w:p w14:paraId="1F59D39D">
      <w:pPr>
        <w:numPr>
          <w:ilvl w:val="0"/>
          <w:numId w:val="0"/>
        </w:numPr>
        <w:ind w:firstLine="480"/>
        <w:jc w:val="left"/>
        <w:outlineLvl w:val="1"/>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《电子档案管理办法》</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国家档案局令第22号公布，自2024年11月1日起施行</w:t>
      </w:r>
    </w:p>
    <w:p w14:paraId="0BA046FF">
      <w:pPr>
        <w:numPr>
          <w:ilvl w:val="0"/>
          <w:numId w:val="0"/>
        </w:numPr>
        <w:jc w:val="left"/>
        <w:outlineLvl w:val="1"/>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第八条　电子档案管理的全过程应当符合国家网络安全、数据安全、个人信息保护、保密管理、密码管理等相关法律法规要求，确保电子档案的安全。</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第十七条　电子文件形成部门应当在电子文件形成、办理、收集过程中完成保管期限鉴定、分类、命名等工作，确保电子文件符合归档要求，并且完整采集描述电子文件内容、结构和背景信息的元数据及其整个管理过程元数据。</w:t>
      </w:r>
    </w:p>
    <w:p w14:paraId="3449F258">
      <w:pPr>
        <w:numPr>
          <w:ilvl w:val="0"/>
          <w:numId w:val="0"/>
        </w:numPr>
        <w:jc w:val="left"/>
        <w:outlineLvl w:val="1"/>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电子文件及其元数据归档不得采用非开放的压缩、加密等技术措施。</w:t>
      </w:r>
    </w:p>
    <w:p w14:paraId="30C61716">
      <w:pPr>
        <w:numPr>
          <w:ilvl w:val="0"/>
          <w:numId w:val="0"/>
        </w:numPr>
        <w:ind w:firstLine="480"/>
        <w:jc w:val="left"/>
        <w:outlineLvl w:val="1"/>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党政机关电子公文归档，应当去除电子印章的数字签名信息，只保留印章图形。其他组织机构电子文件归档可以参照处理。</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"https://www.gov.cn/gongbao/2024/issue_11746/202412/content_6991650.html"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https://www.gov.cn/gongbao/2024/issue_11746/202412/content_6991650.html</w:t>
      </w:r>
      <w:r>
        <w:rPr>
          <w:rFonts w:hint="eastAsia" w:ascii="宋体" w:hAnsi="宋体" w:eastAsia="宋体" w:cs="宋体"/>
          <w:b w:val="0"/>
          <w:bCs w:val="0"/>
          <w:sz w:val="24"/>
          <w:szCs w:val="24"/>
          <w:lang w:val="en-US" w:eastAsia="zh-CN"/>
        </w:rPr>
        <w:fldChar w:fldCharType="end"/>
      </w:r>
    </w:p>
    <w:p w14:paraId="060FB65C">
      <w:pPr>
        <w:numPr>
          <w:ilvl w:val="0"/>
          <w:numId w:val="0"/>
        </w:numPr>
        <w:jc w:val="left"/>
        <w:outlineLvl w:val="1"/>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Style w:val="18"/>
          <w:rFonts w:hint="eastAsia" w:ascii="宋体" w:hAnsi="宋体" w:eastAsia="宋体" w:cs="宋体"/>
          <w:sz w:val="24"/>
          <w:szCs w:val="24"/>
          <w:lang w:val="en-US" w:eastAsia="zh-CN"/>
        </w:rPr>
        <w:t>（二）社会治理密码应用</w:t>
      </w:r>
      <w:r>
        <w:rPr>
          <w:rFonts w:hint="eastAsia" w:ascii="宋体" w:hAnsi="宋体" w:eastAsia="宋体" w:cs="宋体"/>
          <w:b w:val="0"/>
          <w:bCs w:val="0"/>
          <w:sz w:val="24"/>
          <w:szCs w:val="24"/>
          <w:lang w:val="en-US" w:eastAsia="zh-CN"/>
        </w:rPr>
        <w:br w:type="textWrapping"/>
      </w:r>
      <w:bookmarkEnd w:id="12"/>
    </w:p>
    <w:p w14:paraId="6CD5C2C1">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《民政部关于印发＜“十四五”民政信息化发展规划＞的通知》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民发〔2021〕104号，成文日期为2021年12月23日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·全面开展国产商用密码应用，构建民政统一的密码应用基础服务平台，提供统一的数据传输、存储加密和身份认证管理等相关服务，提升密码使用和管理水平。</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"http://www.gov.cn/zhengce/zhengceku/2021-12/30/content_5665421.htm"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http://www.gov.cn/zhengce/zhengceku/2021-12/30/content_5665421.htm</w:t>
      </w:r>
      <w:r>
        <w:rPr>
          <w:rFonts w:hint="eastAsia" w:ascii="宋体" w:hAnsi="宋体" w:eastAsia="宋体" w:cs="宋体"/>
          <w:b w:val="0"/>
          <w:bCs w:val="0"/>
          <w:sz w:val="24"/>
          <w:szCs w:val="24"/>
          <w:lang w:val="en-US" w:eastAsia="zh-CN"/>
        </w:rPr>
        <w:fldChar w:fldCharType="end"/>
      </w:r>
    </w:p>
    <w:p w14:paraId="06F88B30">
      <w:pPr>
        <w:numPr>
          <w:ilvl w:val="0"/>
          <w:numId w:val="0"/>
        </w:numPr>
        <w:jc w:val="left"/>
        <w:rPr>
          <w:rStyle w:val="18"/>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br w:type="textWrapping"/>
      </w:r>
      <w:r>
        <w:rPr>
          <w:rStyle w:val="18"/>
          <w:rFonts w:hint="eastAsia" w:ascii="宋体" w:hAnsi="宋体" w:eastAsia="宋体" w:cs="宋体"/>
          <w:sz w:val="24"/>
          <w:szCs w:val="24"/>
          <w:lang w:val="en-US" w:eastAsia="zh-CN"/>
        </w:rPr>
        <w:br w:type="textWrapping"/>
      </w:r>
      <w:bookmarkStart w:id="13" w:name="_Toc25491"/>
      <w:r>
        <w:rPr>
          <w:rStyle w:val="18"/>
          <w:rFonts w:hint="eastAsia" w:ascii="宋体" w:hAnsi="宋体" w:eastAsia="宋体" w:cs="宋体"/>
          <w:sz w:val="24"/>
          <w:szCs w:val="24"/>
          <w:lang w:val="en-US" w:eastAsia="zh-CN"/>
        </w:rPr>
        <w:t>（三）民生保障密码应用</w:t>
      </w:r>
      <w:r>
        <w:rPr>
          <w:rStyle w:val="18"/>
          <w:rFonts w:hint="eastAsia" w:ascii="宋体" w:hAnsi="宋体" w:eastAsia="宋体" w:cs="宋体"/>
          <w:sz w:val="24"/>
          <w:szCs w:val="24"/>
          <w:lang w:val="en-US" w:eastAsia="zh-CN"/>
        </w:rPr>
        <w:br w:type="textWrapping"/>
      </w:r>
      <w:bookmarkEnd w:id="13"/>
    </w:p>
    <w:p w14:paraId="22B541F2">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《教育部关于发布＜直播类在线教学平台安全保障要求＞教育行业标准的通知》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教科信函〔2022〕59号，成文日期为2022年12月9日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JY/T 0651-2022《</w:t>
      </w:r>
      <w:r>
        <w:rPr>
          <w:rFonts w:ascii="宋体" w:hAnsi="宋体" w:eastAsia="宋体" w:cs="宋体"/>
          <w:sz w:val="24"/>
          <w:szCs w:val="24"/>
        </w:rPr>
        <w:t>直播类在线教学平台安全保障要求</w:t>
      </w:r>
      <w:r>
        <w:rPr>
          <w:rFonts w:hint="eastAsia" w:ascii="宋体" w:hAnsi="宋体" w:eastAsia="宋体" w:cs="宋体"/>
          <w:b w:val="0"/>
          <w:bCs w:val="0"/>
          <w:sz w:val="24"/>
          <w:szCs w:val="24"/>
          <w:lang w:val="en-US" w:eastAsia="zh-CN"/>
        </w:rPr>
        <w:t>》明确，直播教学平台应依据GB/T 39786-2021及《商用密码应用安全性评估管理办法(试行)》等标准和政策文件的要求，使用商用密码进行保护，定期委托检测机构开展密码应用安全性评估，并提供密码应用安全性评估报告。</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"http://www.moe.gov.cn/srcsite/A16/s3342/202301/t20230113_1039260.html"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http://www.moe.gov.cn/srcsite/A16/s3342/202301/t20230113_1039260.html</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《住房和城乡建设部关于加快住房公积金数字化发展的指导意见》</w:t>
      </w:r>
    </w:p>
    <w:p w14:paraId="1A1E3907">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建金〔2022〕82号，成文日期为2022年12月7日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切实保障数据和网络安全。落实数据分类分级保护制度，明确数据使用权限、适用范围、安全保障措施等，建立健全数据安全内控机制，加大数据保护力度。加强数据全生命周期安全管理，强化安全监测、数据加密、数据脱敏、授权访问等技术保护措施。严格执行网络安全等级保护制度，定期组织开展网络安全、密码应用等安全自查和检测评估。加强网络安全基础设施建设，充分运用智能感知、威胁预测等技术，强化日常监测，不断提高网络安全防护能力。</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"https://www.gov.cn/zhengce/zhengceku/2023-01/10/content_5735961.htm"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https://www.gov.cn/zhengce/zhengceku/2023-01/10/content_5735961.htm</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lang w:val="en-US" w:eastAsia="zh-CN"/>
        </w:rPr>
        <w:t>《国家中医药管理局关于印发＜中医医院信息与数字化建设规范（2024版）＞的通知》</w:t>
      </w:r>
    </w:p>
    <w:p w14:paraId="30B850AD">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国中医药规财函〔2024〕259号，发文时间为2024年12月5日</w:t>
      </w:r>
    </w:p>
    <w:p w14:paraId="2B33FFED">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第五十条 中医医院应当按照《密码法》等有关法律法规使用商用密码保护信息系统和网络设施，同步规划、同步建设、同步运行商用密码保障系统，定期委托商用密码检测机构开展商用密码应用安全性评估。http://www.natcm.gov.cn/guicaisi/zhengcewenjian/2024-12-13/35452.html</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lang w:val="en-US" w:eastAsia="zh-CN"/>
        </w:rPr>
        <w:t>《国家卫生健康委、国家中医药局、国家疾控局＜关于印发“十四五”全民健康信息化规划＞的通知》</w:t>
      </w:r>
    </w:p>
    <w:p w14:paraId="6786ED70">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国卫规划发〔2022〕30号，成文日期为2022年11月7日</w:t>
      </w:r>
    </w:p>
    <w:p w14:paraId="7D20348F">
      <w:pPr>
        <w:numPr>
          <w:ilvl w:val="0"/>
          <w:numId w:val="0"/>
        </w:num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构建卫生健康行业网络可信体系。建设一批医疗卫生机构商用密码应用示范，全面推广商用密码应用，完善卫生健康行业商用密码应用体系。建设各类医疗卫生机构、人员和患者可信数字身份管理系统，实现医患可信身份电子认证和电子签名，保证访问、处理数据的用户身份真实，确保网络行为可管、可控、可溯源。完善卫生健康行业电子认证服务体系，实现电子认证服务跨区域互信互认。</w:t>
      </w:r>
    </w:p>
    <w:p w14:paraId="3B34EBA0">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"http://www.nhc.gov.cn/guihuaxxs/s3585u/202211/49eb570ca79a42f688f9efac42e3c0f1.shtml"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http://www.nhc.gov.cn/guihuaxxs/s3585u/202211/49eb570ca79a42f688f9efac42e3c0f1.shtml</w:t>
      </w:r>
      <w:r>
        <w:rPr>
          <w:rFonts w:hint="eastAsia" w:ascii="宋体" w:hAnsi="宋体" w:eastAsia="宋体" w:cs="宋体"/>
          <w:b w:val="0"/>
          <w:bCs w:val="0"/>
          <w:sz w:val="24"/>
          <w:szCs w:val="24"/>
          <w:lang w:val="en-US" w:eastAsia="zh-CN"/>
        </w:rPr>
        <w:fldChar w:fldCharType="end"/>
      </w:r>
    </w:p>
    <w:p w14:paraId="04289B98">
      <w:pPr>
        <w:numPr>
          <w:ilvl w:val="0"/>
          <w:numId w:val="0"/>
        </w:numPr>
        <w:jc w:val="left"/>
        <w:rPr>
          <w:rFonts w:hint="eastAsia" w:ascii="宋体" w:hAnsi="宋体" w:eastAsia="宋体" w:cs="宋体"/>
          <w:b w:val="0"/>
          <w:bCs w:val="0"/>
          <w:sz w:val="24"/>
          <w:szCs w:val="24"/>
          <w:shd w:val="clear" w:color="FFFFFF" w:fill="D9D9D9"/>
          <w:lang w:val="en-US" w:eastAsia="zh-CN"/>
        </w:rPr>
      </w:pPr>
    </w:p>
    <w:p w14:paraId="55A3F71A">
      <w:pPr>
        <w:numPr>
          <w:ilvl w:val="0"/>
          <w:numId w:val="0"/>
        </w:numPr>
        <w:jc w:val="left"/>
        <w:rPr>
          <w:rFonts w:hint="eastAsia" w:ascii="宋体" w:hAnsi="宋体" w:eastAsia="宋体" w:cs="宋体"/>
          <w:b w:val="0"/>
          <w:bCs w:val="0"/>
          <w:sz w:val="24"/>
          <w:szCs w:val="24"/>
          <w:shd w:val="clear" w:color="FFFFFF" w:fill="D9D9D9"/>
          <w:lang w:val="en-US" w:eastAsia="zh-CN"/>
        </w:rPr>
      </w:pPr>
    </w:p>
    <w:p w14:paraId="1F2A256D">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国家卫生健康委、国家中医药局、国家疾控局《关于印发医疗卫生机构网络安全管理办法的通知》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国卫规划发〔2022〕29号，成文日期为2022年8月8日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·各医疗卫生机构应按照《密码法》等有关法律法规和密码应用相关标准规范，在网络建设过程中同步规划、同步建设、同步运行密码保护措施，使用符合相关要求的密码产品和服务。</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"http://www.gov.cn/zhengce/zhengceku/2022-08/30/content_5707404.htm"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http://www.gov.cn/zhengce/zhengceku/2022-08/30/content_5707404.htm</w:t>
      </w:r>
      <w:r>
        <w:rPr>
          <w:rFonts w:hint="eastAsia" w:ascii="宋体" w:hAnsi="宋体" w:eastAsia="宋体" w:cs="宋体"/>
          <w:b w:val="0"/>
          <w:bCs w:val="0"/>
          <w:sz w:val="24"/>
          <w:szCs w:val="24"/>
          <w:lang w:val="en-US" w:eastAsia="zh-CN"/>
        </w:rPr>
        <w:fldChar w:fldCharType="end"/>
      </w:r>
    </w:p>
    <w:p w14:paraId="7CE28CF0">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《国家药监局关于印发＜药品监管网络安全与信息化建设“十四五”规划＞的通知》</w:t>
      </w:r>
    </w:p>
    <w:p w14:paraId="750F935F">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国药监综〔2022〕23号，成文日期为2022年4月24日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·完善网络安全保障体系，健全网络安全管理制度，开展信息系统安全等级保护备案与信息安全等级保护测评、关键信息基础设施安全保护、密码应用安全性评估等工作。</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结合药监云平台服务的建设实际和业务应用的密码需求，进一步建设完善网络安全信任体系。根据各业务系统中密码应用特点，逐步完善国家局密码资源服务能力，满足相关法律法规和管理条例的要求，实现系统和数据的主动安全保护。</w:t>
      </w:r>
    </w:p>
    <w:p w14:paraId="392EBC35">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建设统一认证服务系统，提升密码服务基础水准，扩大密码服务种类，提高密码服务可用性，从服务形态、部署方式、访问接口到运维管理等方面加强密码服务统一管理，为药监云平台建设提供技术先进、方案完备、高效可用的密码安全防护能力。</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"https://www.nmpa.gov.cn/xxgk/fgwj/gzwj/gzwjzh/20220511110329171.html"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https://www.nmpa.gov.cn/xxgk/fgwj/gzwj/gzwjzh/20220511110329171.html</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lang w:val="en-US" w:eastAsia="zh-CN"/>
        </w:rPr>
        <w:t>《教育部等六部门关于推进教育新型基础设施建设构建高质量教育支撑体系的指导意见》</w:t>
      </w:r>
    </w:p>
    <w:p w14:paraId="2A8BC09A">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教科信〔2021〕2号，成文日期为2021年7月1日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·推动建设教育系统密码基础设施和支撑平台，建立完善全国统一的身份认证体系，推动移动终端的多因子认证。利用国产商用密码技术推动数据传输和存储加密，提升数据保障能力。</w:t>
      </w:r>
    </w:p>
    <w:p w14:paraId="7CD4D1F2">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"http://www.gov.cn/zhengce/zhengceku/2021-07/22/content_5626544.htm"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http://www.gov.cn/zhengce/zhengceku/2021-07/22/content_5626544.htm</w:t>
      </w:r>
      <w:r>
        <w:rPr>
          <w:rFonts w:hint="eastAsia" w:ascii="宋体" w:hAnsi="宋体" w:eastAsia="宋体" w:cs="宋体"/>
          <w:b w:val="0"/>
          <w:bCs w:val="0"/>
          <w:sz w:val="24"/>
          <w:szCs w:val="24"/>
          <w:lang w:val="en-US" w:eastAsia="zh-CN"/>
        </w:rPr>
        <w:fldChar w:fldCharType="end"/>
      </w:r>
    </w:p>
    <w:p w14:paraId="2BD7FA11">
      <w:pPr>
        <w:numPr>
          <w:ilvl w:val="0"/>
          <w:numId w:val="0"/>
        </w:numPr>
        <w:jc w:val="left"/>
        <w:rPr>
          <w:rFonts w:hint="eastAsia" w:ascii="宋体" w:hAnsi="宋体" w:eastAsia="宋体" w:cs="宋体"/>
          <w:b w:val="0"/>
          <w:bCs w:val="0"/>
          <w:sz w:val="24"/>
          <w:szCs w:val="24"/>
          <w:lang w:val="en-US" w:eastAsia="zh-CN"/>
        </w:rPr>
      </w:pPr>
    </w:p>
    <w:p w14:paraId="39CBE7ED">
      <w:pPr>
        <w:numPr>
          <w:ilvl w:val="0"/>
          <w:numId w:val="0"/>
        </w:numPr>
        <w:jc w:val="left"/>
        <w:rPr>
          <w:rFonts w:hint="eastAsia" w:ascii="宋体" w:hAnsi="宋体" w:eastAsia="宋体" w:cs="宋体"/>
          <w:b w:val="0"/>
          <w:bCs w:val="0"/>
          <w:sz w:val="24"/>
          <w:szCs w:val="24"/>
          <w:lang w:val="en-US" w:eastAsia="zh-CN"/>
        </w:rPr>
      </w:pPr>
    </w:p>
    <w:p w14:paraId="5E244310">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《教育部关于加强新时代教育管理信息化工作的通知》</w:t>
      </w:r>
    </w:p>
    <w:p w14:paraId="0FAD6EB9">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教科信函〔2021〕13号，成文日期为2021年3月10日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构建数字认证体系。完善教育数字认证基础支撑体系总体规划，建立统一的教育系统密码基础设施和支撑平台。建设基于“一校一码、一人一号”的数字认证互联互通互认体系，实现跨平台的单点登录。推动以智能终端为载体的多因子认证，探索手机短信、移动协同签名等多种认证方式，提升服务体验。数字认证使用的密码技术和产品应符合国家密码管理部门要求。探索推动区块链技术在招生考试、学历认证、学分互认、求职就业等领域的应用，提高数字认证可信性。</w:t>
      </w:r>
    </w:p>
    <w:p w14:paraId="3C8D5F33">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"http://www.moe.gov.cn/srcsite/A16/s3342/202103/t20210322_521669.html"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http://www.moe.gov.cn/srcsite/A16/s3342/202103/t20210322_521669.html</w:t>
      </w:r>
      <w:r>
        <w:rPr>
          <w:rFonts w:hint="eastAsia" w:ascii="宋体" w:hAnsi="宋体" w:eastAsia="宋体" w:cs="宋体"/>
          <w:b w:val="0"/>
          <w:bCs w:val="0"/>
          <w:sz w:val="24"/>
          <w:szCs w:val="24"/>
          <w:lang w:val="en-US" w:eastAsia="zh-CN"/>
        </w:rPr>
        <w:fldChar w:fldCharType="end"/>
      </w:r>
    </w:p>
    <w:p w14:paraId="34C847C0">
      <w:pPr>
        <w:numPr>
          <w:ilvl w:val="0"/>
          <w:numId w:val="0"/>
        </w:numPr>
        <w:jc w:val="left"/>
        <w:rPr>
          <w:rFonts w:hint="eastAsia" w:ascii="宋体" w:hAnsi="宋体" w:eastAsia="宋体" w:cs="宋体"/>
          <w:b w:val="0"/>
          <w:bCs w:val="0"/>
          <w:sz w:val="24"/>
          <w:szCs w:val="24"/>
          <w:lang w:val="en-US" w:eastAsia="zh-CN"/>
        </w:rPr>
      </w:pPr>
    </w:p>
    <w:p w14:paraId="32643A33">
      <w:pPr>
        <w:numPr>
          <w:ilvl w:val="0"/>
          <w:numId w:val="0"/>
        </w:numPr>
        <w:jc w:val="left"/>
        <w:rPr>
          <w:rFonts w:hint="eastAsia" w:ascii="宋体" w:hAnsi="宋体" w:eastAsia="宋体" w:cs="宋体"/>
          <w:b w:val="0"/>
          <w:bCs w:val="0"/>
          <w:i w:val="0"/>
          <w:iCs w:val="0"/>
          <w:caps w:val="0"/>
          <w:color w:val="333333"/>
          <w:spacing w:val="0"/>
          <w:sz w:val="24"/>
          <w:szCs w:val="24"/>
          <w:shd w:val="clear" w:fill="FFFFFF"/>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i w:val="0"/>
          <w:iCs w:val="0"/>
          <w:sz w:val="24"/>
          <w:szCs w:val="24"/>
          <w:lang w:val="en-US" w:eastAsia="zh-CN"/>
        </w:rPr>
        <w:t>《关于加快推进卫生健康行业电子证照建设与应用的指导意见》</w:t>
      </w:r>
      <w:r>
        <w:rPr>
          <w:rFonts w:hint="eastAsia" w:ascii="宋体" w:hAnsi="宋体" w:eastAsia="宋体" w:cs="宋体"/>
          <w:b w:val="0"/>
          <w:bCs w:val="0"/>
          <w:i w:val="0"/>
          <w:iCs w:val="0"/>
          <w:sz w:val="24"/>
          <w:szCs w:val="24"/>
          <w:lang w:val="en-US" w:eastAsia="zh-CN"/>
        </w:rPr>
        <w:br w:type="textWrapping"/>
      </w:r>
      <w:r>
        <w:rPr>
          <w:rFonts w:hint="eastAsia" w:ascii="宋体" w:hAnsi="宋体" w:eastAsia="宋体" w:cs="宋体"/>
          <w:b w:val="0"/>
          <w:bCs w:val="0"/>
          <w:i w:val="0"/>
          <w:iCs w:val="0"/>
          <w:sz w:val="24"/>
          <w:szCs w:val="24"/>
          <w:lang w:val="en-US" w:eastAsia="zh-CN"/>
        </w:rPr>
        <w:t>国卫办规划发〔2020〕17号，成文日期为2020年10月16日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强化电子证照系统安全保障。各级卫生健康行政部门要强化风险防控能力，建立安全制度，规范系统应用，依法依规使用卫生健康行业电子证照，建立卫生健康行业电子证照系统国产密码应用保障体系和安全制度，对涉及国家安全、公共安全、个人隐私等数据提供安全支撑。做好卫生健康行业电子证照数据备份工作，保障系统安全互联、信息安全共享。</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"http://www.nhc.gov.cn/guihuaxxs/gongwen12/202010/64d370e60e6647709d847300fec16abe.shtml"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http://www.nhc.gov.cn/guihuaxxs/gongwen12/202010/64d370e60e6647709d847300fec16abe.shtml</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i w:val="0"/>
          <w:iCs w:val="0"/>
          <w:sz w:val="24"/>
          <w:szCs w:val="24"/>
          <w:lang w:val="en-US" w:eastAsia="zh-CN"/>
        </w:rPr>
        <w:t>《关于加强全民健康信息标准化体系建设的意见》</w:t>
      </w:r>
      <w:r>
        <w:rPr>
          <w:rFonts w:hint="eastAsia" w:ascii="宋体" w:hAnsi="宋体" w:eastAsia="宋体" w:cs="宋体"/>
          <w:b w:val="0"/>
          <w:bCs w:val="0"/>
          <w:i w:val="0"/>
          <w:iCs w:val="0"/>
          <w:sz w:val="24"/>
          <w:szCs w:val="24"/>
          <w:lang w:val="en-US" w:eastAsia="zh-CN"/>
        </w:rPr>
        <w:br w:type="textWrapping"/>
      </w:r>
      <w:r>
        <w:rPr>
          <w:rFonts w:hint="eastAsia" w:ascii="宋体" w:hAnsi="宋体" w:eastAsia="宋体" w:cs="宋体"/>
          <w:b w:val="0"/>
          <w:bCs w:val="0"/>
          <w:i w:val="0"/>
          <w:iCs w:val="0"/>
          <w:sz w:val="24"/>
          <w:szCs w:val="24"/>
          <w:lang w:val="en-US" w:eastAsia="zh-CN"/>
        </w:rPr>
        <w:t>国卫办规划发〔2020〕14号，成文日期为2020年09月27日</w:t>
      </w:r>
      <w:r>
        <w:rPr>
          <w:rFonts w:hint="eastAsia" w:ascii="宋体" w:hAnsi="宋体" w:eastAsia="宋体" w:cs="宋体"/>
          <w:b w:val="0"/>
          <w:bCs w:val="0"/>
          <w:i w:val="0"/>
          <w:iCs w:val="0"/>
          <w:sz w:val="24"/>
          <w:szCs w:val="24"/>
          <w:lang w:val="en-US" w:eastAsia="zh-CN"/>
        </w:rPr>
        <w:br w:type="textWrapping"/>
      </w:r>
      <w:r>
        <w:rPr>
          <w:rFonts w:hint="eastAsia" w:ascii="宋体" w:hAnsi="宋体" w:eastAsia="宋体" w:cs="宋体"/>
          <w:b w:val="0"/>
          <w:bCs w:val="0"/>
          <w:i w:val="0"/>
          <w:iCs w:val="0"/>
          <w:sz w:val="24"/>
          <w:szCs w:val="24"/>
          <w:lang w:val="en-US" w:eastAsia="zh-CN"/>
        </w:rPr>
        <w:t>　　</w:t>
      </w:r>
      <w:r>
        <w:rPr>
          <w:rFonts w:hint="eastAsia" w:ascii="宋体" w:hAnsi="宋体" w:eastAsia="宋体" w:cs="宋体"/>
          <w:b w:val="0"/>
          <w:bCs w:val="0"/>
          <w:sz w:val="24"/>
          <w:szCs w:val="24"/>
          <w:lang w:val="en-US" w:eastAsia="zh-CN"/>
        </w:rPr>
        <w:t>·完善行业网络安全标准体系。贯彻《中华人民共和国网络安全法》，推进网络安全等级保护、商用密码应用、关键信息基础设施保护等制度在行业落地实施，研究编制卫生健康行业网络安全技术、医疗卫生机构安全能力评估、关键信息基础设施识别认定和保护等标准。</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"http://www.nhc.gov.cn/guihuaxxs/pqt/202010/4114443b613546148b275f191da4662b.shtml"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http://www.nhc.gov.cn/guihuaxxs/pqt/202010/4114443b613546148b275f191da4662b.shtml</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lang w:val="en-US" w:eastAsia="zh-CN"/>
        </w:rPr>
        <w:t>《国家卫生健康委办公厅关于做好信息化支撑常态化疫情防控工作的通知》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国卫办规划函〔2020〕506号，成文日期为2020年6月28日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·加大网络安全投入。各级卫生健康部门要按照中央网信办要求提高信息化建设中网络安全投入的比例，提升信息化产品和服务安全可控水平，推进商用密码应用的深度和广度。</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"http://www.nhc.gov.cn/guihuaxxs/s10743/202006/5a2bc24e181a43a6b242a86706c361a3.shtml"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lang w:val="en-US" w:eastAsia="zh-CN"/>
        </w:rPr>
        <w:t>http://www.nhc.gov.cn/guihuaxxs/s10743/202006/5a2bc24e181a43a6b242a86706c361a3.shtml</w:t>
      </w:r>
      <w:r>
        <w:rPr>
          <w:rFonts w:hint="eastAsia" w:ascii="宋体" w:hAnsi="宋体" w:eastAsia="宋体" w:cs="宋体"/>
          <w:b w:val="0"/>
          <w:bCs w:val="0"/>
          <w:sz w:val="24"/>
          <w:szCs w:val="24"/>
          <w:lang w:val="en-US" w:eastAsia="zh-CN"/>
        </w:rPr>
        <w:fldChar w:fldCharType="end"/>
      </w:r>
    </w:p>
    <w:p w14:paraId="6DD85F72">
      <w:pPr>
        <w:numPr>
          <w:ilvl w:val="0"/>
          <w:numId w:val="0"/>
        </w:numPr>
        <w:jc w:val="left"/>
        <w:rPr>
          <w:rFonts w:hint="eastAsia" w:ascii="宋体" w:hAnsi="宋体" w:eastAsia="宋体" w:cs="宋体"/>
          <w:b w:val="0"/>
          <w:bCs w:val="0"/>
          <w:i w:val="0"/>
          <w:iCs w:val="0"/>
          <w:caps w:val="0"/>
          <w:color w:val="333333"/>
          <w:spacing w:val="0"/>
          <w:sz w:val="24"/>
          <w:szCs w:val="24"/>
          <w:shd w:val="clear" w:fill="FFFFFF"/>
        </w:rPr>
      </w:pPr>
    </w:p>
    <w:p w14:paraId="711BA1BA">
      <w:pPr>
        <w:numPr>
          <w:ilvl w:val="0"/>
          <w:numId w:val="0"/>
        </w:numPr>
        <w:jc w:val="left"/>
        <w:rPr>
          <w:rFonts w:hint="eastAsia" w:ascii="宋体" w:hAnsi="宋体" w:eastAsia="宋体" w:cs="宋体"/>
          <w:b w:val="0"/>
          <w:bCs w:val="0"/>
          <w:i w:val="0"/>
          <w:iCs w:val="0"/>
          <w:caps w:val="0"/>
          <w:color w:val="333333"/>
          <w:spacing w:val="0"/>
          <w:sz w:val="24"/>
          <w:szCs w:val="24"/>
          <w:shd w:val="clear" w:fill="FFFFFF"/>
        </w:rPr>
      </w:pPr>
    </w:p>
    <w:p w14:paraId="5C9C9B5C">
      <w:pPr>
        <w:numPr>
          <w:ilvl w:val="0"/>
          <w:numId w:val="0"/>
        </w:numPr>
        <w:jc w:val="left"/>
        <w:rPr>
          <w:rFonts w:hint="eastAsia" w:ascii="宋体" w:hAnsi="宋体" w:eastAsia="宋体" w:cs="宋体"/>
          <w:b w:val="0"/>
          <w:bCs w:val="0"/>
          <w:i w:val="0"/>
          <w:iCs w:val="0"/>
          <w:caps w:val="0"/>
          <w:color w:val="333333"/>
          <w:spacing w:val="0"/>
          <w:sz w:val="24"/>
          <w:szCs w:val="24"/>
          <w:shd w:val="clear" w:fill="FFFFFF"/>
        </w:rPr>
      </w:pPr>
    </w:p>
    <w:p w14:paraId="42A2ABA8">
      <w:pPr>
        <w:numPr>
          <w:ilvl w:val="0"/>
          <w:numId w:val="0"/>
        </w:numPr>
        <w:jc w:val="left"/>
        <w:rPr>
          <w:rFonts w:hint="eastAsia" w:ascii="宋体" w:hAnsi="宋体" w:eastAsia="宋体" w:cs="宋体"/>
          <w:b w:val="0"/>
          <w:bCs w:val="0"/>
          <w:i w:val="0"/>
          <w:iCs w:val="0"/>
          <w:caps w:val="0"/>
          <w:color w:val="333333"/>
          <w:spacing w:val="0"/>
          <w:sz w:val="24"/>
          <w:szCs w:val="24"/>
          <w:shd w:val="clear" w:fill="FFFFFF"/>
        </w:rPr>
      </w:pPr>
    </w:p>
    <w:p w14:paraId="5BC4F80E">
      <w:pPr>
        <w:numPr>
          <w:ilvl w:val="0"/>
          <w:numId w:val="0"/>
        </w:numPr>
        <w:jc w:val="left"/>
        <w:rPr>
          <w:rFonts w:hint="eastAsia" w:ascii="宋体" w:hAnsi="宋体" w:eastAsia="宋体" w:cs="宋体"/>
          <w:b w:val="0"/>
          <w:bCs w:val="0"/>
          <w:i w:val="0"/>
          <w:iCs w:val="0"/>
          <w:caps w:val="0"/>
          <w:color w:val="333333"/>
          <w:spacing w:val="0"/>
          <w:sz w:val="24"/>
          <w:szCs w:val="24"/>
          <w:shd w:val="clear" w:fill="FFFFFF"/>
          <w:lang w:val="en-US" w:eastAsia="zh-CN"/>
        </w:rPr>
      </w:pPr>
    </w:p>
    <w:p w14:paraId="2ADD7404">
      <w:pPr>
        <w:numPr>
          <w:ilvl w:val="0"/>
          <w:numId w:val="0"/>
        </w:numPr>
        <w:jc w:val="left"/>
        <w:rPr>
          <w:rFonts w:hint="eastAsia" w:ascii="宋体" w:hAnsi="宋体" w:eastAsia="宋体" w:cs="宋体"/>
          <w:b w:val="0"/>
          <w:bCs w:val="0"/>
          <w:i w:val="0"/>
          <w:iCs w:val="0"/>
          <w:caps w:val="0"/>
          <w:color w:val="333333"/>
          <w:spacing w:val="0"/>
          <w:sz w:val="24"/>
          <w:szCs w:val="24"/>
          <w:shd w:val="clear" w:fill="FFFFFF"/>
          <w:lang w:val="en-US" w:eastAsia="zh-CN"/>
        </w:rPr>
      </w:pPr>
    </w:p>
    <w:p w14:paraId="66388925">
      <w:pPr>
        <w:numPr>
          <w:ilvl w:val="0"/>
          <w:numId w:val="0"/>
        </w:numPr>
        <w:jc w:val="left"/>
        <w:rPr>
          <w:rFonts w:hint="eastAsia" w:ascii="宋体" w:hAnsi="宋体" w:eastAsia="宋体" w:cs="宋体"/>
          <w:b w:val="0"/>
          <w:bCs w:val="0"/>
          <w:i w:val="0"/>
          <w:iCs w:val="0"/>
          <w:caps w:val="0"/>
          <w:color w:val="333333"/>
          <w:spacing w:val="0"/>
          <w:sz w:val="24"/>
          <w:szCs w:val="24"/>
          <w:shd w:val="clear" w:fill="FFFFFF"/>
          <w:lang w:val="en-US" w:eastAsia="zh-CN"/>
        </w:rPr>
      </w:pPr>
    </w:p>
    <w:p w14:paraId="2F45B1A7">
      <w:pPr>
        <w:numPr>
          <w:ilvl w:val="0"/>
          <w:numId w:val="0"/>
        </w:numPr>
        <w:jc w:val="left"/>
        <w:rPr>
          <w:rFonts w:hint="eastAsia" w:ascii="宋体" w:hAnsi="宋体" w:eastAsia="宋体" w:cs="宋体"/>
          <w:b w:val="0"/>
          <w:bCs w:val="0"/>
          <w:i w:val="0"/>
          <w:iCs w:val="0"/>
          <w:caps w:val="0"/>
          <w:color w:val="333333"/>
          <w:spacing w:val="0"/>
          <w:sz w:val="24"/>
          <w:szCs w:val="24"/>
          <w:shd w:val="clear" w:fill="FFFFFF"/>
          <w:lang w:val="en-US" w:eastAsia="zh-CN"/>
        </w:rPr>
      </w:pPr>
    </w:p>
    <w:p w14:paraId="3F7747EF">
      <w:pPr>
        <w:numPr>
          <w:ilvl w:val="0"/>
          <w:numId w:val="0"/>
        </w:numPr>
        <w:jc w:val="left"/>
        <w:rPr>
          <w:rFonts w:hint="eastAsia" w:ascii="宋体" w:hAnsi="宋体" w:eastAsia="宋体" w:cs="宋体"/>
          <w:b w:val="0"/>
          <w:bCs w:val="0"/>
          <w:i w:val="0"/>
          <w:iCs w:val="0"/>
          <w:caps w:val="0"/>
          <w:color w:val="333333"/>
          <w:spacing w:val="0"/>
          <w:sz w:val="24"/>
          <w:szCs w:val="24"/>
          <w:shd w:val="clear" w:fill="FFFFFF"/>
          <w:lang w:val="en-US" w:eastAsia="zh-CN"/>
        </w:rPr>
      </w:pPr>
    </w:p>
    <w:p w14:paraId="3833E5F5">
      <w:pPr>
        <w:numPr>
          <w:ilvl w:val="0"/>
          <w:numId w:val="0"/>
        </w:numPr>
        <w:jc w:val="left"/>
        <w:rPr>
          <w:rFonts w:hint="eastAsia" w:ascii="宋体" w:hAnsi="宋体" w:eastAsia="宋体" w:cs="宋体"/>
          <w:b w:val="0"/>
          <w:bCs w:val="0"/>
          <w:i w:val="0"/>
          <w:iCs w:val="0"/>
          <w:caps w:val="0"/>
          <w:color w:val="333333"/>
          <w:spacing w:val="0"/>
          <w:sz w:val="24"/>
          <w:szCs w:val="24"/>
          <w:shd w:val="clear" w:fill="FFFFFF"/>
          <w:lang w:val="en-US" w:eastAsia="zh-CN"/>
        </w:rPr>
      </w:pPr>
    </w:p>
    <w:p w14:paraId="00CAA112">
      <w:pPr>
        <w:numPr>
          <w:ilvl w:val="0"/>
          <w:numId w:val="0"/>
        </w:numPr>
        <w:jc w:val="left"/>
        <w:rPr>
          <w:rFonts w:hint="eastAsia" w:ascii="宋体" w:hAnsi="宋体" w:eastAsia="宋体" w:cs="宋体"/>
          <w:b w:val="0"/>
          <w:bCs w:val="0"/>
          <w:i w:val="0"/>
          <w:iCs w:val="0"/>
          <w:caps w:val="0"/>
          <w:color w:val="333333"/>
          <w:spacing w:val="0"/>
          <w:sz w:val="24"/>
          <w:szCs w:val="24"/>
          <w:shd w:val="clear" w:fill="FFFFFF"/>
          <w:lang w:val="en-US" w:eastAsia="zh-CN"/>
        </w:rPr>
      </w:pPr>
    </w:p>
    <w:p w14:paraId="34BBB0E9">
      <w:pPr>
        <w:numPr>
          <w:ilvl w:val="0"/>
          <w:numId w:val="0"/>
        </w:numPr>
        <w:jc w:val="left"/>
        <w:rPr>
          <w:rFonts w:hint="eastAsia" w:ascii="宋体" w:hAnsi="宋体" w:eastAsia="宋体" w:cs="宋体"/>
          <w:b w:val="0"/>
          <w:bCs w:val="0"/>
          <w:i w:val="0"/>
          <w:iCs w:val="0"/>
          <w:caps w:val="0"/>
          <w:color w:val="333333"/>
          <w:spacing w:val="0"/>
          <w:sz w:val="24"/>
          <w:szCs w:val="24"/>
          <w:shd w:val="clear" w:fill="FFFFFF"/>
          <w:lang w:val="en-US" w:eastAsia="zh-CN"/>
        </w:rPr>
      </w:pPr>
    </w:p>
    <w:p w14:paraId="0415A9C1">
      <w:pPr>
        <w:numPr>
          <w:ilvl w:val="0"/>
          <w:numId w:val="0"/>
        </w:numPr>
        <w:jc w:val="left"/>
        <w:rPr>
          <w:rFonts w:hint="eastAsia" w:ascii="宋体" w:hAnsi="宋体" w:eastAsia="宋体" w:cs="宋体"/>
          <w:b w:val="0"/>
          <w:bCs w:val="0"/>
          <w:i w:val="0"/>
          <w:iCs w:val="0"/>
          <w:caps w:val="0"/>
          <w:color w:val="333333"/>
          <w:spacing w:val="0"/>
          <w:sz w:val="24"/>
          <w:szCs w:val="24"/>
          <w:shd w:val="clear" w:fill="FFFFFF"/>
          <w:lang w:val="en-US" w:eastAsia="zh-CN"/>
        </w:rPr>
      </w:pPr>
    </w:p>
    <w:p w14:paraId="28A899B5">
      <w:pPr>
        <w:numPr>
          <w:ilvl w:val="0"/>
          <w:numId w:val="0"/>
        </w:numPr>
        <w:jc w:val="left"/>
        <w:rPr>
          <w:rFonts w:hint="eastAsia" w:ascii="宋体" w:hAnsi="宋体" w:eastAsia="宋体" w:cs="宋体"/>
          <w:b w:val="0"/>
          <w:bCs w:val="0"/>
          <w:i w:val="0"/>
          <w:iCs w:val="0"/>
          <w:caps w:val="0"/>
          <w:color w:val="333333"/>
          <w:spacing w:val="0"/>
          <w:sz w:val="24"/>
          <w:szCs w:val="24"/>
          <w:shd w:val="clear" w:fill="FFFFFF"/>
          <w:lang w:val="en-US" w:eastAsia="zh-CN"/>
        </w:rPr>
      </w:pPr>
    </w:p>
    <w:p w14:paraId="113E1065">
      <w:pPr>
        <w:numPr>
          <w:ilvl w:val="0"/>
          <w:numId w:val="0"/>
        </w:numPr>
        <w:jc w:val="left"/>
        <w:rPr>
          <w:rFonts w:hint="eastAsia" w:ascii="宋体" w:hAnsi="宋体" w:eastAsia="宋体" w:cs="宋体"/>
          <w:b w:val="0"/>
          <w:bCs w:val="0"/>
          <w:i w:val="0"/>
          <w:iCs w:val="0"/>
          <w:caps w:val="0"/>
          <w:color w:val="333333"/>
          <w:spacing w:val="0"/>
          <w:sz w:val="24"/>
          <w:szCs w:val="24"/>
          <w:shd w:val="clear" w:fill="FFFFFF"/>
          <w:lang w:val="en-US" w:eastAsia="zh-CN"/>
        </w:rPr>
      </w:pPr>
    </w:p>
    <w:p w14:paraId="3CFE22DD">
      <w:pPr>
        <w:numPr>
          <w:ilvl w:val="0"/>
          <w:numId w:val="0"/>
        </w:numPr>
        <w:jc w:val="left"/>
        <w:rPr>
          <w:rFonts w:hint="eastAsia" w:ascii="宋体" w:hAnsi="宋体" w:eastAsia="宋体" w:cs="宋体"/>
          <w:b w:val="0"/>
          <w:bCs w:val="0"/>
          <w:i w:val="0"/>
          <w:iCs w:val="0"/>
          <w:caps w:val="0"/>
          <w:color w:val="333333"/>
          <w:spacing w:val="0"/>
          <w:sz w:val="24"/>
          <w:szCs w:val="24"/>
          <w:shd w:val="clear" w:fill="FFFFFF"/>
          <w:lang w:val="en-US" w:eastAsia="zh-CN"/>
        </w:rPr>
      </w:pPr>
    </w:p>
    <w:p w14:paraId="647D976A">
      <w:pPr>
        <w:numPr>
          <w:ilvl w:val="0"/>
          <w:numId w:val="0"/>
        </w:numPr>
        <w:jc w:val="left"/>
        <w:rPr>
          <w:rFonts w:hint="eastAsia" w:ascii="宋体" w:hAnsi="宋体" w:eastAsia="宋体" w:cs="宋体"/>
          <w:b w:val="0"/>
          <w:bCs w:val="0"/>
          <w:i w:val="0"/>
          <w:iCs w:val="0"/>
          <w:caps w:val="0"/>
          <w:color w:val="333333"/>
          <w:spacing w:val="0"/>
          <w:sz w:val="24"/>
          <w:szCs w:val="24"/>
          <w:shd w:val="clear" w:fill="FFFFFF"/>
          <w:lang w:val="en-US" w:eastAsia="zh-CN"/>
        </w:rPr>
      </w:pPr>
    </w:p>
    <w:p w14:paraId="6D20B054">
      <w:pPr>
        <w:numPr>
          <w:ilvl w:val="0"/>
          <w:numId w:val="0"/>
        </w:numPr>
        <w:jc w:val="left"/>
        <w:rPr>
          <w:rFonts w:hint="eastAsia" w:ascii="宋体" w:hAnsi="宋体" w:eastAsia="宋体" w:cs="宋体"/>
          <w:b w:val="0"/>
          <w:bCs w:val="0"/>
          <w:i w:val="0"/>
          <w:iCs w:val="0"/>
          <w:caps w:val="0"/>
          <w:color w:val="333333"/>
          <w:spacing w:val="0"/>
          <w:sz w:val="24"/>
          <w:szCs w:val="24"/>
          <w:shd w:val="clear" w:fill="FFFFFF"/>
          <w:lang w:val="en-US" w:eastAsia="zh-CN"/>
        </w:rPr>
      </w:pPr>
    </w:p>
    <w:p w14:paraId="0C288102">
      <w:pPr>
        <w:numPr>
          <w:ilvl w:val="0"/>
          <w:numId w:val="0"/>
        </w:numPr>
        <w:jc w:val="left"/>
        <w:rPr>
          <w:rFonts w:hint="eastAsia" w:ascii="宋体" w:hAnsi="宋体" w:eastAsia="宋体" w:cs="宋体"/>
          <w:b w:val="0"/>
          <w:bCs w:val="0"/>
          <w:i w:val="0"/>
          <w:iCs w:val="0"/>
          <w:caps w:val="0"/>
          <w:color w:val="333333"/>
          <w:spacing w:val="0"/>
          <w:sz w:val="24"/>
          <w:szCs w:val="24"/>
          <w:shd w:val="clear" w:fill="FFFFFF"/>
          <w:lang w:val="en-US" w:eastAsia="zh-CN"/>
        </w:rPr>
      </w:pPr>
    </w:p>
    <w:p w14:paraId="47FB1BA3">
      <w:pPr>
        <w:numPr>
          <w:ilvl w:val="0"/>
          <w:numId w:val="0"/>
        </w:numPr>
        <w:jc w:val="left"/>
        <w:rPr>
          <w:rFonts w:hint="eastAsia" w:ascii="宋体" w:hAnsi="宋体" w:eastAsia="宋体" w:cs="宋体"/>
          <w:b w:val="0"/>
          <w:bCs w:val="0"/>
          <w:i w:val="0"/>
          <w:iCs w:val="0"/>
          <w:caps w:val="0"/>
          <w:color w:val="333333"/>
          <w:spacing w:val="0"/>
          <w:sz w:val="24"/>
          <w:szCs w:val="24"/>
          <w:shd w:val="clear" w:fill="FFFFFF"/>
          <w:lang w:val="en-US" w:eastAsia="zh-CN"/>
        </w:rPr>
      </w:pPr>
    </w:p>
    <w:p w14:paraId="5460CD24">
      <w:pPr>
        <w:numPr>
          <w:ilvl w:val="0"/>
          <w:numId w:val="0"/>
        </w:numPr>
        <w:jc w:val="left"/>
        <w:rPr>
          <w:rFonts w:hint="eastAsia" w:ascii="宋体" w:hAnsi="宋体" w:eastAsia="宋体" w:cs="宋体"/>
          <w:b w:val="0"/>
          <w:bCs w:val="0"/>
          <w:i w:val="0"/>
          <w:iCs w:val="0"/>
          <w:caps w:val="0"/>
          <w:color w:val="333333"/>
          <w:spacing w:val="0"/>
          <w:sz w:val="24"/>
          <w:szCs w:val="24"/>
          <w:shd w:val="clear" w:fill="FFFFFF"/>
          <w:lang w:val="en-US" w:eastAsia="zh-CN"/>
        </w:rPr>
      </w:pPr>
    </w:p>
    <w:p w14:paraId="31FE0417">
      <w:pPr>
        <w:numPr>
          <w:ilvl w:val="0"/>
          <w:numId w:val="0"/>
        </w:numPr>
        <w:jc w:val="left"/>
        <w:rPr>
          <w:rFonts w:hint="eastAsia" w:ascii="宋体" w:hAnsi="宋体" w:eastAsia="宋体" w:cs="宋体"/>
          <w:b w:val="0"/>
          <w:bCs w:val="0"/>
          <w:i w:val="0"/>
          <w:iCs w:val="0"/>
          <w:caps w:val="0"/>
          <w:color w:val="333333"/>
          <w:spacing w:val="0"/>
          <w:sz w:val="24"/>
          <w:szCs w:val="24"/>
          <w:shd w:val="clear" w:fill="FFFFFF"/>
          <w:lang w:val="en-US" w:eastAsia="zh-CN"/>
        </w:rPr>
      </w:pPr>
    </w:p>
    <w:p w14:paraId="4E291252">
      <w:pPr>
        <w:numPr>
          <w:ilvl w:val="0"/>
          <w:numId w:val="0"/>
        </w:numPr>
        <w:jc w:val="left"/>
        <w:rPr>
          <w:rFonts w:hint="eastAsia" w:ascii="宋体" w:hAnsi="宋体" w:eastAsia="宋体" w:cs="宋体"/>
          <w:b w:val="0"/>
          <w:bCs w:val="0"/>
          <w:i w:val="0"/>
          <w:iCs w:val="0"/>
          <w:caps w:val="0"/>
          <w:color w:val="333333"/>
          <w:spacing w:val="0"/>
          <w:sz w:val="24"/>
          <w:szCs w:val="24"/>
          <w:shd w:val="clear" w:fill="FFFFFF"/>
          <w:lang w:val="en-US" w:eastAsia="zh-CN"/>
        </w:rPr>
      </w:pPr>
    </w:p>
    <w:p w14:paraId="6309DC5A">
      <w:pPr>
        <w:numPr>
          <w:ilvl w:val="0"/>
          <w:numId w:val="0"/>
        </w:numPr>
        <w:jc w:val="left"/>
        <w:rPr>
          <w:rFonts w:hint="eastAsia" w:ascii="宋体" w:hAnsi="宋体" w:eastAsia="宋体" w:cs="宋体"/>
          <w:b w:val="0"/>
          <w:bCs w:val="0"/>
          <w:i w:val="0"/>
          <w:iCs w:val="0"/>
          <w:caps w:val="0"/>
          <w:color w:val="333333"/>
          <w:spacing w:val="0"/>
          <w:sz w:val="24"/>
          <w:szCs w:val="24"/>
          <w:shd w:val="clear" w:fill="FFFFFF"/>
          <w:lang w:val="en-US" w:eastAsia="zh-CN"/>
        </w:rPr>
      </w:pPr>
    </w:p>
    <w:p w14:paraId="218A056D">
      <w:pPr>
        <w:pStyle w:val="2"/>
        <w:bidi w:val="0"/>
        <w:rPr>
          <w:rFonts w:hint="eastAsia" w:ascii="宋体" w:hAnsi="宋体" w:eastAsia="宋体" w:cs="宋体"/>
          <w:b w:val="0"/>
          <w:bCs w:val="0"/>
          <w:sz w:val="24"/>
          <w:szCs w:val="24"/>
          <w:shd w:val="clear" w:color="FFFFFF" w:fill="D9D9D9"/>
          <w:lang w:val="en-US" w:eastAsia="zh-CN"/>
        </w:rPr>
      </w:pPr>
      <w:bookmarkStart w:id="14" w:name="_Toc6137"/>
      <w:r>
        <w:rPr>
          <w:rFonts w:hint="eastAsia"/>
          <w:lang w:val="en-US" w:eastAsia="zh-CN"/>
        </w:rPr>
        <w:t>五、密码科技创新和基础支撑能力</w:t>
      </w:r>
      <w:bookmarkEnd w:id="14"/>
    </w:p>
    <w:p w14:paraId="222896FD">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《工业和信息化部等十六部门关于促进数据安全产业发展的指导意见》</w:t>
      </w:r>
    </w:p>
    <w:p w14:paraId="3EF6A35F">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工信部联网安﹝2022﹞182号，成文日期为2023年1月3日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加强核心技术攻关。推进新型计算模式和网络架构下数据安全基础理论和技术研究，支持后量子密码算法、密态计算等技术在数据安全产业的发展应用。优化升级数据识别、分类分级、数据脱敏、数据权限管理等共性基础技术，加强隐私计算、数据流转分析等关键技术攻关。研究大数据场景下轻量级安全传输存储、隐私合规检测、数据滥用分析等技术。</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"https://www.gov.cn/zhengce/zhengceku/2023-01/15/content_5737026.htm"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https://www.gov.cn/zhengce/zhengceku/2023-01/15/content_5737026.htm</w:t>
      </w:r>
      <w:r>
        <w:rPr>
          <w:rFonts w:hint="eastAsia" w:ascii="宋体" w:hAnsi="宋体" w:eastAsia="宋体" w:cs="宋体"/>
          <w:b w:val="0"/>
          <w:bCs w:val="0"/>
          <w:sz w:val="24"/>
          <w:szCs w:val="24"/>
          <w:lang w:val="en-US" w:eastAsia="zh-CN"/>
        </w:rPr>
        <w:fldChar w:fldCharType="end"/>
      </w:r>
    </w:p>
    <w:p w14:paraId="50663672">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《工业和信息化部关于印发＜工业和信息化领域数据安全管理办法（试行）＞的通知》</w:t>
      </w:r>
    </w:p>
    <w:p w14:paraId="19BFBF3D">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工信部网安〔2022〕166号，成文日期为2022年12月8日</w:t>
      </w:r>
    </w:p>
    <w:p w14:paraId="4CB7B11E">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第十五条 工业和信息化领域数据处理者应当按照法律、行政法规规定和用户约定的方式、期限进行数据存储。存储重要数据和核心数据的，应当采用校验技术、密码技术等措施进行安全存储，并实施数据容灾备份和存储介质安全管理，定期开展数据恢复测试。</w:t>
      </w:r>
    </w:p>
    <w:p w14:paraId="1318A641">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第十七条 工业和信息化领域数据处理者应当根据传输的数据类型、级别和应用场景，制定安全策略并采取保护措施。传输重要数据和核心数据的，应当采取校验技术、密码技术、安全传输通道或者安全传输协议等措施。</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"https://www.gov.cn/zhengce/zhengceku/2022-12/14/content_5731918.htm"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https://www.gov.cn/zhengce/zhengceku/2022-12/14/content_5731918.htm</w:t>
      </w:r>
      <w:r>
        <w:rPr>
          <w:rFonts w:hint="eastAsia" w:ascii="宋体" w:hAnsi="宋体" w:eastAsia="宋体" w:cs="宋体"/>
          <w:b w:val="0"/>
          <w:bCs w:val="0"/>
          <w:sz w:val="24"/>
          <w:szCs w:val="24"/>
          <w:lang w:val="en-US" w:eastAsia="zh-CN"/>
        </w:rPr>
        <w:fldChar w:fldCharType="end"/>
      </w:r>
    </w:p>
    <w:p w14:paraId="033F854A">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《工业和信息化部关于印发“十四五”大数据产业发展规划的通知》</w:t>
      </w:r>
    </w:p>
    <w:p w14:paraId="5DFFAA7D">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工信部规〔2021〕179号，成文日期为2021年11月15日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推动数据安全产业发展。支持重点行业开展数据安全技术手段建设，提升数据安全防护水平和应急处置能力。加强数据安全产品研发应用，推动大数据技术在数字基础设施安全防护中的应用。加强隐私计算、数据脱敏、密码等数据安全技术与产品的研发应用，提升数据安全产品供给能力，做大做强数据安全产业。</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"http://www.gov.cn/zhengce/zhengceku/2021-11/30/content_5655089.htm"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http://www.gov.cn/zhengce/zhengceku/2021-11/30/content_5655089.htm</w:t>
      </w:r>
      <w:r>
        <w:rPr>
          <w:rFonts w:hint="eastAsia" w:ascii="宋体" w:hAnsi="宋体" w:eastAsia="宋体" w:cs="宋体"/>
          <w:b w:val="0"/>
          <w:bCs w:val="0"/>
          <w:sz w:val="24"/>
          <w:szCs w:val="24"/>
          <w:lang w:val="en-US" w:eastAsia="zh-CN"/>
        </w:rPr>
        <w:fldChar w:fldCharType="end"/>
      </w:r>
    </w:p>
    <w:p w14:paraId="58B32B41">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《工业和信息化部 中央网络安全和信息化委员会办公室关于加快推动区块链技术应用和产业发展的指导意见》</w:t>
      </w:r>
    </w:p>
    <w:p w14:paraId="06E84F97">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工信部联信发〔2021〕62号，成文日期为2021年5月27日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构建底层平台。在分布式计算与存储、密码算法、共识机制、智能合约等重点领域加强技术攻关，构建区块链底层平台。支持利用传感器、可信网络、软硬件结合等技术加强链上链下数据协同。推动区块链与其他新一代信息技术融合，打造安全可控、跨链兼容的区块链基础设施。</w:t>
      </w:r>
    </w:p>
    <w:p w14:paraId="1F4808F4">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"https://www.miit.gov.cn/jgsj/xxjsfzs/wjfb/art/2021/art_aac4af17ec1f4d9fadd5051015e3f42d.html"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https://www.miit.gov.cn/jgsj/xxjsfzs/wjfb/art/2021/art_aac4af17ec1f4d9fadd5051015e3f42d.html</w:t>
      </w:r>
      <w:r>
        <w:rPr>
          <w:rFonts w:hint="eastAsia" w:ascii="宋体" w:hAnsi="宋体" w:eastAsia="宋体" w:cs="宋体"/>
          <w:b w:val="0"/>
          <w:bCs w:val="0"/>
          <w:sz w:val="24"/>
          <w:szCs w:val="24"/>
          <w:lang w:val="en-US" w:eastAsia="zh-CN"/>
        </w:rPr>
        <w:fldChar w:fldCharType="end"/>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思源宋体 CN Heavy">
    <w:panose1 w:val="02020900000000000000"/>
    <w:charset w:val="86"/>
    <w:family w:val="auto"/>
    <w:pitch w:val="default"/>
    <w:sig w:usb0="20000083" w:usb1="2ADF3C10" w:usb2="00000016" w:usb3="00000000" w:csb0="60060107"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幼圆">
    <w:panose1 w:val="02010509060101010101"/>
    <w:charset w:val="86"/>
    <w:family w:val="modern"/>
    <w:pitch w:val="default"/>
    <w:sig w:usb0="00000001" w:usb1="080E0000" w:usb2="00000000" w:usb3="00000000" w:csb0="00040000" w:csb1="00000000"/>
  </w:font>
  <w:font w:name="Impact">
    <w:panose1 w:val="020B0806030902050204"/>
    <w:charset w:val="00"/>
    <w:family w:val="swiss"/>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D1482">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FB763">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0CFB763">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4C94DF"/>
    <w:multiLevelType w:val="singleLevel"/>
    <w:tmpl w:val="944C94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iZmNjYjU3MjY3ZjU5NWIyNjY2NDQ3MWNkNWI1ZWUifQ=="/>
  </w:docVars>
  <w:rsids>
    <w:rsidRoot w:val="63A07357"/>
    <w:rsid w:val="000123D1"/>
    <w:rsid w:val="00337FC4"/>
    <w:rsid w:val="003C7B0A"/>
    <w:rsid w:val="01A95AAB"/>
    <w:rsid w:val="01D9415D"/>
    <w:rsid w:val="01E16DC3"/>
    <w:rsid w:val="022D62FC"/>
    <w:rsid w:val="025C64F8"/>
    <w:rsid w:val="02B60903"/>
    <w:rsid w:val="02D375D2"/>
    <w:rsid w:val="033341EE"/>
    <w:rsid w:val="03F06A04"/>
    <w:rsid w:val="03FA37B6"/>
    <w:rsid w:val="04A0753A"/>
    <w:rsid w:val="04EA0BA4"/>
    <w:rsid w:val="04EB59BE"/>
    <w:rsid w:val="05094D59"/>
    <w:rsid w:val="053F69CD"/>
    <w:rsid w:val="05C33E36"/>
    <w:rsid w:val="05FD4533"/>
    <w:rsid w:val="06305252"/>
    <w:rsid w:val="064906F9"/>
    <w:rsid w:val="06516464"/>
    <w:rsid w:val="0665688A"/>
    <w:rsid w:val="06FC06A4"/>
    <w:rsid w:val="07301846"/>
    <w:rsid w:val="07302A71"/>
    <w:rsid w:val="07484670"/>
    <w:rsid w:val="07556DA9"/>
    <w:rsid w:val="07741A56"/>
    <w:rsid w:val="07790334"/>
    <w:rsid w:val="077F44F7"/>
    <w:rsid w:val="07862E01"/>
    <w:rsid w:val="07DD2096"/>
    <w:rsid w:val="07F309DE"/>
    <w:rsid w:val="08305CC4"/>
    <w:rsid w:val="09A15F0C"/>
    <w:rsid w:val="09A671A9"/>
    <w:rsid w:val="09E7639B"/>
    <w:rsid w:val="0A3824FF"/>
    <w:rsid w:val="0A386822"/>
    <w:rsid w:val="0A3F69D5"/>
    <w:rsid w:val="0A617D3D"/>
    <w:rsid w:val="0A93759F"/>
    <w:rsid w:val="0AAA0071"/>
    <w:rsid w:val="0AC91212"/>
    <w:rsid w:val="0B7A69B0"/>
    <w:rsid w:val="0BDB58AE"/>
    <w:rsid w:val="0BF15449"/>
    <w:rsid w:val="0BF50048"/>
    <w:rsid w:val="0C060514"/>
    <w:rsid w:val="0C6900DD"/>
    <w:rsid w:val="0CB952B6"/>
    <w:rsid w:val="0D194C76"/>
    <w:rsid w:val="0D1B4264"/>
    <w:rsid w:val="0DC90D44"/>
    <w:rsid w:val="0E3C537A"/>
    <w:rsid w:val="0E4D2660"/>
    <w:rsid w:val="0E505AD1"/>
    <w:rsid w:val="0E5D2BF2"/>
    <w:rsid w:val="0EDE5AE1"/>
    <w:rsid w:val="0F06164F"/>
    <w:rsid w:val="0F912A16"/>
    <w:rsid w:val="0FD26E7E"/>
    <w:rsid w:val="10072172"/>
    <w:rsid w:val="105C584D"/>
    <w:rsid w:val="107E2643"/>
    <w:rsid w:val="10AF4A16"/>
    <w:rsid w:val="10C063DA"/>
    <w:rsid w:val="10F547A6"/>
    <w:rsid w:val="10F85AB4"/>
    <w:rsid w:val="119B18B2"/>
    <w:rsid w:val="11CF7319"/>
    <w:rsid w:val="11D35398"/>
    <w:rsid w:val="12D44A81"/>
    <w:rsid w:val="13281A6D"/>
    <w:rsid w:val="132E255A"/>
    <w:rsid w:val="1350710E"/>
    <w:rsid w:val="135D4DFE"/>
    <w:rsid w:val="1362203C"/>
    <w:rsid w:val="137D740B"/>
    <w:rsid w:val="13985C26"/>
    <w:rsid w:val="13C133CE"/>
    <w:rsid w:val="13CF7BC6"/>
    <w:rsid w:val="13FA68E0"/>
    <w:rsid w:val="141F774C"/>
    <w:rsid w:val="146D4ED5"/>
    <w:rsid w:val="149F15FA"/>
    <w:rsid w:val="14FD43E8"/>
    <w:rsid w:val="154975B9"/>
    <w:rsid w:val="15A45AB3"/>
    <w:rsid w:val="15A85EC8"/>
    <w:rsid w:val="15B21535"/>
    <w:rsid w:val="15D65B86"/>
    <w:rsid w:val="16273291"/>
    <w:rsid w:val="165B0B3D"/>
    <w:rsid w:val="16A11295"/>
    <w:rsid w:val="16A25075"/>
    <w:rsid w:val="16FB7EC0"/>
    <w:rsid w:val="174A2009"/>
    <w:rsid w:val="175C2DF5"/>
    <w:rsid w:val="17873403"/>
    <w:rsid w:val="17AC6144"/>
    <w:rsid w:val="189356CD"/>
    <w:rsid w:val="1944141D"/>
    <w:rsid w:val="194C4CED"/>
    <w:rsid w:val="198B7B4F"/>
    <w:rsid w:val="199E36B9"/>
    <w:rsid w:val="19AA3D70"/>
    <w:rsid w:val="19BA3BF4"/>
    <w:rsid w:val="19D14F58"/>
    <w:rsid w:val="19F06239"/>
    <w:rsid w:val="1A065E64"/>
    <w:rsid w:val="1A966FBD"/>
    <w:rsid w:val="1B1B5F58"/>
    <w:rsid w:val="1B242E40"/>
    <w:rsid w:val="1B541B4F"/>
    <w:rsid w:val="1B6708D7"/>
    <w:rsid w:val="1B994503"/>
    <w:rsid w:val="1BDD700F"/>
    <w:rsid w:val="1BE631E2"/>
    <w:rsid w:val="1C72744B"/>
    <w:rsid w:val="1D0D38B9"/>
    <w:rsid w:val="1D377E26"/>
    <w:rsid w:val="1D4C1327"/>
    <w:rsid w:val="1D823B84"/>
    <w:rsid w:val="1D8C69DB"/>
    <w:rsid w:val="1DD45AAC"/>
    <w:rsid w:val="1DF9503E"/>
    <w:rsid w:val="1E596344"/>
    <w:rsid w:val="1E7E0AE7"/>
    <w:rsid w:val="1EB76D94"/>
    <w:rsid w:val="1F2B626C"/>
    <w:rsid w:val="2030355A"/>
    <w:rsid w:val="20514CC6"/>
    <w:rsid w:val="205A07A7"/>
    <w:rsid w:val="207B2B57"/>
    <w:rsid w:val="20807F3B"/>
    <w:rsid w:val="21222FD3"/>
    <w:rsid w:val="212E5E1B"/>
    <w:rsid w:val="214060D9"/>
    <w:rsid w:val="21A659B2"/>
    <w:rsid w:val="21B07388"/>
    <w:rsid w:val="22130851"/>
    <w:rsid w:val="22370618"/>
    <w:rsid w:val="223C1CF5"/>
    <w:rsid w:val="22872A08"/>
    <w:rsid w:val="229F5FCB"/>
    <w:rsid w:val="22A70E97"/>
    <w:rsid w:val="22D24584"/>
    <w:rsid w:val="22D87618"/>
    <w:rsid w:val="235A678A"/>
    <w:rsid w:val="23B8295A"/>
    <w:rsid w:val="23C44815"/>
    <w:rsid w:val="23C85E1C"/>
    <w:rsid w:val="247D5D84"/>
    <w:rsid w:val="24807DC1"/>
    <w:rsid w:val="24854A7D"/>
    <w:rsid w:val="24B04D44"/>
    <w:rsid w:val="24B539F9"/>
    <w:rsid w:val="24ED5CF4"/>
    <w:rsid w:val="24F90E2F"/>
    <w:rsid w:val="25671385"/>
    <w:rsid w:val="256718FC"/>
    <w:rsid w:val="264319DC"/>
    <w:rsid w:val="264A1B0E"/>
    <w:rsid w:val="2663162B"/>
    <w:rsid w:val="26713F43"/>
    <w:rsid w:val="26D1468A"/>
    <w:rsid w:val="26D6112B"/>
    <w:rsid w:val="272B1E2A"/>
    <w:rsid w:val="277D3B03"/>
    <w:rsid w:val="27D85AEA"/>
    <w:rsid w:val="27DA63B5"/>
    <w:rsid w:val="27EC7E96"/>
    <w:rsid w:val="28122C55"/>
    <w:rsid w:val="28675388"/>
    <w:rsid w:val="289712EA"/>
    <w:rsid w:val="29446E37"/>
    <w:rsid w:val="296F6FD1"/>
    <w:rsid w:val="29A87D64"/>
    <w:rsid w:val="29BD74D6"/>
    <w:rsid w:val="2A361988"/>
    <w:rsid w:val="2A45074C"/>
    <w:rsid w:val="2A456A43"/>
    <w:rsid w:val="2A764CCF"/>
    <w:rsid w:val="2A8867AF"/>
    <w:rsid w:val="2AA450F2"/>
    <w:rsid w:val="2B2B4740"/>
    <w:rsid w:val="2B33776D"/>
    <w:rsid w:val="2B54756B"/>
    <w:rsid w:val="2B596F53"/>
    <w:rsid w:val="2B6D3FF4"/>
    <w:rsid w:val="2BA33B3F"/>
    <w:rsid w:val="2BAB460C"/>
    <w:rsid w:val="2C557282"/>
    <w:rsid w:val="2CF040FB"/>
    <w:rsid w:val="2D2C5FE6"/>
    <w:rsid w:val="2EA339A5"/>
    <w:rsid w:val="2EA909BF"/>
    <w:rsid w:val="2EB1421D"/>
    <w:rsid w:val="2F1039AD"/>
    <w:rsid w:val="2F2257D4"/>
    <w:rsid w:val="2F561ACA"/>
    <w:rsid w:val="2F5C4207"/>
    <w:rsid w:val="2F670E6A"/>
    <w:rsid w:val="2FAB75B0"/>
    <w:rsid w:val="2FBA2297"/>
    <w:rsid w:val="3038011D"/>
    <w:rsid w:val="309F1B36"/>
    <w:rsid w:val="30E3277E"/>
    <w:rsid w:val="30EB1633"/>
    <w:rsid w:val="31086DB8"/>
    <w:rsid w:val="314350F7"/>
    <w:rsid w:val="31BB2B0A"/>
    <w:rsid w:val="31C67C3F"/>
    <w:rsid w:val="31E65B7B"/>
    <w:rsid w:val="320B20CD"/>
    <w:rsid w:val="32635237"/>
    <w:rsid w:val="326B23EC"/>
    <w:rsid w:val="32785148"/>
    <w:rsid w:val="32981347"/>
    <w:rsid w:val="32A52080"/>
    <w:rsid w:val="32AD69AB"/>
    <w:rsid w:val="32D80039"/>
    <w:rsid w:val="340A0022"/>
    <w:rsid w:val="3417386F"/>
    <w:rsid w:val="343764E2"/>
    <w:rsid w:val="34654A2F"/>
    <w:rsid w:val="34D523DE"/>
    <w:rsid w:val="35221F45"/>
    <w:rsid w:val="354D5B85"/>
    <w:rsid w:val="35A05729"/>
    <w:rsid w:val="36380E96"/>
    <w:rsid w:val="36800B07"/>
    <w:rsid w:val="36AA32BB"/>
    <w:rsid w:val="36F5724A"/>
    <w:rsid w:val="37484977"/>
    <w:rsid w:val="37824373"/>
    <w:rsid w:val="38632B5B"/>
    <w:rsid w:val="38635F4A"/>
    <w:rsid w:val="38C91CE9"/>
    <w:rsid w:val="38CC6FC0"/>
    <w:rsid w:val="38E1153A"/>
    <w:rsid w:val="391B712D"/>
    <w:rsid w:val="39266ADA"/>
    <w:rsid w:val="39E3559D"/>
    <w:rsid w:val="3A011012"/>
    <w:rsid w:val="3A1C4353"/>
    <w:rsid w:val="3A292411"/>
    <w:rsid w:val="3A8612D4"/>
    <w:rsid w:val="3A8F37DB"/>
    <w:rsid w:val="3AE3337B"/>
    <w:rsid w:val="3B1C6365"/>
    <w:rsid w:val="3B563F50"/>
    <w:rsid w:val="3BF10263"/>
    <w:rsid w:val="3C4E0CC8"/>
    <w:rsid w:val="3CB44FCF"/>
    <w:rsid w:val="3CBC0D4B"/>
    <w:rsid w:val="3CC06F17"/>
    <w:rsid w:val="3CDD4FE7"/>
    <w:rsid w:val="3DA80564"/>
    <w:rsid w:val="3DDD23CB"/>
    <w:rsid w:val="3EA03B8F"/>
    <w:rsid w:val="3EAF3CA0"/>
    <w:rsid w:val="3EB16816"/>
    <w:rsid w:val="3EEF64ED"/>
    <w:rsid w:val="3F2D184C"/>
    <w:rsid w:val="3F7877A9"/>
    <w:rsid w:val="3FC62E8C"/>
    <w:rsid w:val="3FC85822"/>
    <w:rsid w:val="40630701"/>
    <w:rsid w:val="40723D23"/>
    <w:rsid w:val="40972C3D"/>
    <w:rsid w:val="40D04330"/>
    <w:rsid w:val="40F92B13"/>
    <w:rsid w:val="415A0D90"/>
    <w:rsid w:val="41AA074E"/>
    <w:rsid w:val="41DE4E43"/>
    <w:rsid w:val="41F03837"/>
    <w:rsid w:val="41F60AD4"/>
    <w:rsid w:val="41F71599"/>
    <w:rsid w:val="42C33F30"/>
    <w:rsid w:val="42F407F6"/>
    <w:rsid w:val="43430EF4"/>
    <w:rsid w:val="435E20EE"/>
    <w:rsid w:val="43755D7B"/>
    <w:rsid w:val="44137209"/>
    <w:rsid w:val="44473328"/>
    <w:rsid w:val="44CF2AE1"/>
    <w:rsid w:val="44EB5F7A"/>
    <w:rsid w:val="450B4C32"/>
    <w:rsid w:val="452F5425"/>
    <w:rsid w:val="45390767"/>
    <w:rsid w:val="4554273F"/>
    <w:rsid w:val="458E4A51"/>
    <w:rsid w:val="46136A85"/>
    <w:rsid w:val="4695240A"/>
    <w:rsid w:val="46E65D45"/>
    <w:rsid w:val="46FC3DF0"/>
    <w:rsid w:val="47431429"/>
    <w:rsid w:val="474D7C19"/>
    <w:rsid w:val="47726286"/>
    <w:rsid w:val="477770F6"/>
    <w:rsid w:val="47F00A07"/>
    <w:rsid w:val="481D3FD0"/>
    <w:rsid w:val="48743864"/>
    <w:rsid w:val="48745902"/>
    <w:rsid w:val="4888548A"/>
    <w:rsid w:val="48AF3B53"/>
    <w:rsid w:val="49462C7E"/>
    <w:rsid w:val="49514AD3"/>
    <w:rsid w:val="498826C6"/>
    <w:rsid w:val="499D1C90"/>
    <w:rsid w:val="49DA3B9B"/>
    <w:rsid w:val="4A150683"/>
    <w:rsid w:val="4B064F25"/>
    <w:rsid w:val="4B0836CE"/>
    <w:rsid w:val="4B0F754B"/>
    <w:rsid w:val="4B4D0C86"/>
    <w:rsid w:val="4B7F5CCB"/>
    <w:rsid w:val="4BA346AD"/>
    <w:rsid w:val="4C4216EC"/>
    <w:rsid w:val="4CB87B9B"/>
    <w:rsid w:val="4CCF20E6"/>
    <w:rsid w:val="4D0614D7"/>
    <w:rsid w:val="4D20220D"/>
    <w:rsid w:val="4D2B4E39"/>
    <w:rsid w:val="4D53613E"/>
    <w:rsid w:val="4D8A7244"/>
    <w:rsid w:val="4D974D9A"/>
    <w:rsid w:val="4DEB6D08"/>
    <w:rsid w:val="4E8E7185"/>
    <w:rsid w:val="4E913C53"/>
    <w:rsid w:val="4EBE2ACF"/>
    <w:rsid w:val="4EDA48BD"/>
    <w:rsid w:val="4EEC7EB8"/>
    <w:rsid w:val="4F253B0A"/>
    <w:rsid w:val="4F6919BD"/>
    <w:rsid w:val="4F730D1A"/>
    <w:rsid w:val="4F784A6A"/>
    <w:rsid w:val="4FAE4233"/>
    <w:rsid w:val="50272ECE"/>
    <w:rsid w:val="507D113F"/>
    <w:rsid w:val="50B43398"/>
    <w:rsid w:val="50E50394"/>
    <w:rsid w:val="50EF617E"/>
    <w:rsid w:val="516116A3"/>
    <w:rsid w:val="516F0066"/>
    <w:rsid w:val="5199791F"/>
    <w:rsid w:val="529B1A6E"/>
    <w:rsid w:val="52BB57CD"/>
    <w:rsid w:val="52CF6267"/>
    <w:rsid w:val="53263218"/>
    <w:rsid w:val="53866166"/>
    <w:rsid w:val="53AF1153"/>
    <w:rsid w:val="53E20D50"/>
    <w:rsid w:val="54007B5C"/>
    <w:rsid w:val="541771E9"/>
    <w:rsid w:val="54603722"/>
    <w:rsid w:val="54883D71"/>
    <w:rsid w:val="54D00262"/>
    <w:rsid w:val="55074DDD"/>
    <w:rsid w:val="551D4128"/>
    <w:rsid w:val="556A4FA7"/>
    <w:rsid w:val="5590381C"/>
    <w:rsid w:val="55C16884"/>
    <w:rsid w:val="55F76A1D"/>
    <w:rsid w:val="55F93865"/>
    <w:rsid w:val="57013EA2"/>
    <w:rsid w:val="573413CC"/>
    <w:rsid w:val="57514B11"/>
    <w:rsid w:val="575E3C09"/>
    <w:rsid w:val="57B819BF"/>
    <w:rsid w:val="581E3CD5"/>
    <w:rsid w:val="58816FA9"/>
    <w:rsid w:val="58843743"/>
    <w:rsid w:val="5A197936"/>
    <w:rsid w:val="5A3C0238"/>
    <w:rsid w:val="5A845EA7"/>
    <w:rsid w:val="5A902FB8"/>
    <w:rsid w:val="5B18483E"/>
    <w:rsid w:val="5B6175F6"/>
    <w:rsid w:val="5BC96C23"/>
    <w:rsid w:val="5BEC10A1"/>
    <w:rsid w:val="5C181A9A"/>
    <w:rsid w:val="5C311D40"/>
    <w:rsid w:val="5C4A6EBD"/>
    <w:rsid w:val="5C5E546E"/>
    <w:rsid w:val="5C5F71E5"/>
    <w:rsid w:val="5C7D6D34"/>
    <w:rsid w:val="5CA20A60"/>
    <w:rsid w:val="5D1D0291"/>
    <w:rsid w:val="5D275C8A"/>
    <w:rsid w:val="5D403C8D"/>
    <w:rsid w:val="5D733523"/>
    <w:rsid w:val="5E2F5927"/>
    <w:rsid w:val="5E4D48C2"/>
    <w:rsid w:val="5ECC3709"/>
    <w:rsid w:val="5EF93515"/>
    <w:rsid w:val="5F367635"/>
    <w:rsid w:val="5F416C1F"/>
    <w:rsid w:val="60082DB8"/>
    <w:rsid w:val="60365B77"/>
    <w:rsid w:val="60E24604"/>
    <w:rsid w:val="61243C22"/>
    <w:rsid w:val="61AD0362"/>
    <w:rsid w:val="61C90194"/>
    <w:rsid w:val="61CA1BFE"/>
    <w:rsid w:val="61FA38FE"/>
    <w:rsid w:val="620A7485"/>
    <w:rsid w:val="624F3EEF"/>
    <w:rsid w:val="6251656A"/>
    <w:rsid w:val="62635FEB"/>
    <w:rsid w:val="62670020"/>
    <w:rsid w:val="628F5B29"/>
    <w:rsid w:val="62D10052"/>
    <w:rsid w:val="63005179"/>
    <w:rsid w:val="6310252E"/>
    <w:rsid w:val="63260741"/>
    <w:rsid w:val="6339737F"/>
    <w:rsid w:val="633F6EDB"/>
    <w:rsid w:val="63A07357"/>
    <w:rsid w:val="640D3093"/>
    <w:rsid w:val="647267C2"/>
    <w:rsid w:val="64A3183A"/>
    <w:rsid w:val="64BD06AF"/>
    <w:rsid w:val="64E01C54"/>
    <w:rsid w:val="64FC400C"/>
    <w:rsid w:val="6502427A"/>
    <w:rsid w:val="655B0E08"/>
    <w:rsid w:val="657333CA"/>
    <w:rsid w:val="65AE674B"/>
    <w:rsid w:val="65C0401D"/>
    <w:rsid w:val="65D61CA9"/>
    <w:rsid w:val="65F755BB"/>
    <w:rsid w:val="66320C06"/>
    <w:rsid w:val="666524F6"/>
    <w:rsid w:val="667371BC"/>
    <w:rsid w:val="66D165FA"/>
    <w:rsid w:val="66DC0AFB"/>
    <w:rsid w:val="677A1955"/>
    <w:rsid w:val="67A66A00"/>
    <w:rsid w:val="67A960D2"/>
    <w:rsid w:val="681C50D1"/>
    <w:rsid w:val="683C7AA3"/>
    <w:rsid w:val="686E7FE1"/>
    <w:rsid w:val="68815DFE"/>
    <w:rsid w:val="68A235FA"/>
    <w:rsid w:val="693E784B"/>
    <w:rsid w:val="69AD2503"/>
    <w:rsid w:val="69B44DB4"/>
    <w:rsid w:val="6A942DEC"/>
    <w:rsid w:val="6ACF2E50"/>
    <w:rsid w:val="6AF45618"/>
    <w:rsid w:val="6B07057E"/>
    <w:rsid w:val="6B0D0EFB"/>
    <w:rsid w:val="6B19231D"/>
    <w:rsid w:val="6B2D0CDD"/>
    <w:rsid w:val="6B311224"/>
    <w:rsid w:val="6B431148"/>
    <w:rsid w:val="6B5A0B7F"/>
    <w:rsid w:val="6BD61FBC"/>
    <w:rsid w:val="6BFA530D"/>
    <w:rsid w:val="6CBF4A2A"/>
    <w:rsid w:val="6D593E17"/>
    <w:rsid w:val="6DA947E3"/>
    <w:rsid w:val="6E023C14"/>
    <w:rsid w:val="6E29517D"/>
    <w:rsid w:val="6E2D7722"/>
    <w:rsid w:val="6F356637"/>
    <w:rsid w:val="6F8200AB"/>
    <w:rsid w:val="6FC2775D"/>
    <w:rsid w:val="6FEA34F8"/>
    <w:rsid w:val="700E142B"/>
    <w:rsid w:val="7055578D"/>
    <w:rsid w:val="70D75F53"/>
    <w:rsid w:val="71094BE2"/>
    <w:rsid w:val="7135179D"/>
    <w:rsid w:val="71505985"/>
    <w:rsid w:val="715E074C"/>
    <w:rsid w:val="718F1013"/>
    <w:rsid w:val="71C905C1"/>
    <w:rsid w:val="720A4F88"/>
    <w:rsid w:val="72A13B88"/>
    <w:rsid w:val="72B01DE3"/>
    <w:rsid w:val="73037C83"/>
    <w:rsid w:val="73251D43"/>
    <w:rsid w:val="733F35F9"/>
    <w:rsid w:val="73825D4D"/>
    <w:rsid w:val="73B6372B"/>
    <w:rsid w:val="73C9497A"/>
    <w:rsid w:val="74A013B9"/>
    <w:rsid w:val="74AD03BF"/>
    <w:rsid w:val="74DF717D"/>
    <w:rsid w:val="74F0151E"/>
    <w:rsid w:val="754010AE"/>
    <w:rsid w:val="755074D5"/>
    <w:rsid w:val="757F2E9D"/>
    <w:rsid w:val="75AA6C07"/>
    <w:rsid w:val="764364A0"/>
    <w:rsid w:val="76832D41"/>
    <w:rsid w:val="76907BD6"/>
    <w:rsid w:val="76B4114C"/>
    <w:rsid w:val="77277B70"/>
    <w:rsid w:val="77547891"/>
    <w:rsid w:val="77AB2769"/>
    <w:rsid w:val="77F641A2"/>
    <w:rsid w:val="78104C06"/>
    <w:rsid w:val="78171D1F"/>
    <w:rsid w:val="78AB0071"/>
    <w:rsid w:val="78C7270E"/>
    <w:rsid w:val="78CC33B5"/>
    <w:rsid w:val="78F96F7F"/>
    <w:rsid w:val="79A82748"/>
    <w:rsid w:val="79EA51DA"/>
    <w:rsid w:val="7A017EE6"/>
    <w:rsid w:val="7A0521F0"/>
    <w:rsid w:val="7A141389"/>
    <w:rsid w:val="7A287E87"/>
    <w:rsid w:val="7A2A1C30"/>
    <w:rsid w:val="7A761E52"/>
    <w:rsid w:val="7AF4245F"/>
    <w:rsid w:val="7B381F10"/>
    <w:rsid w:val="7B4A7BAF"/>
    <w:rsid w:val="7B4D389A"/>
    <w:rsid w:val="7B992269"/>
    <w:rsid w:val="7BB12A63"/>
    <w:rsid w:val="7C195991"/>
    <w:rsid w:val="7C203139"/>
    <w:rsid w:val="7C655D5E"/>
    <w:rsid w:val="7C6A7DAD"/>
    <w:rsid w:val="7C710304"/>
    <w:rsid w:val="7CD7575D"/>
    <w:rsid w:val="7CDA0729"/>
    <w:rsid w:val="7CDA138E"/>
    <w:rsid w:val="7CE81B50"/>
    <w:rsid w:val="7D1F7C67"/>
    <w:rsid w:val="7D53149F"/>
    <w:rsid w:val="7D69289B"/>
    <w:rsid w:val="7DBE6370"/>
    <w:rsid w:val="7DE83EE6"/>
    <w:rsid w:val="7E582D05"/>
    <w:rsid w:val="7E9A331D"/>
    <w:rsid w:val="7ECA57CE"/>
    <w:rsid w:val="7EF04B10"/>
    <w:rsid w:val="7F757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autoRedefine/>
    <w:qFormat/>
    <w:uiPriority w:val="0"/>
    <w:pPr>
      <w:spacing w:before="0" w:beforeAutospacing="1" w:after="0" w:afterAutospacing="1"/>
      <w:jc w:val="left"/>
      <w:outlineLvl w:val="0"/>
    </w:pPr>
    <w:rPr>
      <w:rFonts w:hint="eastAsia" w:ascii="宋体" w:hAnsi="宋体" w:eastAsia="黑体" w:cs="宋体"/>
      <w:b/>
      <w:bCs/>
      <w:kern w:val="44"/>
      <w:sz w:val="28"/>
      <w:szCs w:val="48"/>
      <w:lang w:bidi="ar"/>
    </w:rPr>
  </w:style>
  <w:style w:type="paragraph" w:styleId="3">
    <w:name w:val="heading 2"/>
    <w:basedOn w:val="1"/>
    <w:next w:val="1"/>
    <w:link w:val="18"/>
    <w:autoRedefine/>
    <w:semiHidden/>
    <w:unhideWhenUsed/>
    <w:qFormat/>
    <w:uiPriority w:val="0"/>
    <w:pPr>
      <w:spacing w:before="0" w:beforeAutospacing="1" w:after="0" w:afterAutospacing="1"/>
      <w:jc w:val="left"/>
      <w:outlineLvl w:val="1"/>
    </w:pPr>
    <w:rPr>
      <w:rFonts w:hint="eastAsia" w:ascii="宋体" w:hAnsi="宋体" w:eastAsia="宋体" w:cs="宋体"/>
      <w:b/>
      <w:bCs/>
      <w:kern w:val="0"/>
      <w:sz w:val="28"/>
      <w:szCs w:val="36"/>
      <w:lang w:bidi="ar"/>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autoRedefine/>
    <w:semiHidden/>
    <w:qFormat/>
    <w:uiPriority w:val="0"/>
  </w:style>
  <w:style w:type="table" w:default="1" w:styleId="12">
    <w:name w:val="Normal Table"/>
    <w:autoRedefine/>
    <w:semiHidden/>
    <w:uiPriority w:val="0"/>
    <w:tblPr>
      <w:tblCellMar>
        <w:top w:w="0" w:type="dxa"/>
        <w:left w:w="108" w:type="dxa"/>
        <w:bottom w:w="0" w:type="dxa"/>
        <w:right w:w="108" w:type="dxa"/>
      </w:tblCellMar>
    </w:tblPr>
  </w:style>
  <w:style w:type="paragraph" w:styleId="5">
    <w:name w:val="Body Text"/>
    <w:basedOn w:val="1"/>
    <w:uiPriority w:val="0"/>
    <w:pPr>
      <w:ind w:left="120" w:right="274" w:firstLine="638"/>
      <w:jc w:val="both"/>
    </w:pPr>
    <w:rPr>
      <w:sz w:val="32"/>
      <w:szCs w:val="32"/>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autoRedefine/>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autoRedefine/>
    <w:uiPriority w:val="0"/>
  </w:style>
  <w:style w:type="paragraph" w:styleId="9">
    <w:name w:val="toc 2"/>
    <w:basedOn w:val="1"/>
    <w:next w:val="1"/>
    <w:autoRedefine/>
    <w:uiPriority w:val="0"/>
    <w:pPr>
      <w:ind w:left="420" w:leftChars="200"/>
    </w:pPr>
  </w:style>
  <w:style w:type="paragraph" w:styleId="10">
    <w:name w:val="HTML Preformatted"/>
    <w:basedOn w:val="1"/>
    <w:autoRedefine/>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autoRedefine/>
    <w:uiPriority w:val="0"/>
    <w:pPr>
      <w:spacing w:before="0" w:beforeAutospacing="1" w:after="0" w:afterAutospacing="1"/>
      <w:ind w:left="0" w:right="0"/>
      <w:jc w:val="left"/>
    </w:pPr>
    <w:rPr>
      <w:kern w:val="0"/>
      <w:sz w:val="24"/>
      <w:lang w:val="en-US" w:eastAsia="zh-CN" w:bidi="ar"/>
    </w:rPr>
  </w:style>
  <w:style w:type="character" w:styleId="14">
    <w:name w:val="Strong"/>
    <w:basedOn w:val="13"/>
    <w:autoRedefine/>
    <w:qFormat/>
    <w:uiPriority w:val="0"/>
    <w:rPr>
      <w:b/>
    </w:rPr>
  </w:style>
  <w:style w:type="character" w:styleId="15">
    <w:name w:val="FollowedHyperlink"/>
    <w:basedOn w:val="13"/>
    <w:autoRedefine/>
    <w:uiPriority w:val="0"/>
    <w:rPr>
      <w:color w:val="800080"/>
      <w:u w:val="single"/>
    </w:rPr>
  </w:style>
  <w:style w:type="character" w:styleId="16">
    <w:name w:val="Hyperlink"/>
    <w:basedOn w:val="13"/>
    <w:autoRedefine/>
    <w:uiPriority w:val="0"/>
    <w:rPr>
      <w:color w:val="0000FF"/>
      <w:u w:val="single"/>
    </w:rPr>
  </w:style>
  <w:style w:type="character" w:customStyle="1" w:styleId="17">
    <w:name w:val="标题 1 Char"/>
    <w:link w:val="2"/>
    <w:autoRedefine/>
    <w:qFormat/>
    <w:uiPriority w:val="0"/>
    <w:rPr>
      <w:rFonts w:hint="eastAsia" w:ascii="宋体" w:hAnsi="宋体" w:eastAsia="黑体" w:cs="宋体"/>
      <w:b/>
      <w:bCs/>
      <w:kern w:val="44"/>
      <w:sz w:val="28"/>
      <w:szCs w:val="48"/>
      <w:lang w:val="en-US" w:eastAsia="zh-CN" w:bidi="ar"/>
    </w:rPr>
  </w:style>
  <w:style w:type="character" w:customStyle="1" w:styleId="18">
    <w:name w:val="标题 2 Char"/>
    <w:link w:val="3"/>
    <w:autoRedefine/>
    <w:qFormat/>
    <w:uiPriority w:val="0"/>
    <w:rPr>
      <w:rFonts w:hint="eastAsia" w:ascii="宋体" w:hAnsi="宋体" w:eastAsia="宋体" w:cs="宋体"/>
      <w:b/>
      <w:bCs/>
      <w:kern w:val="0"/>
      <w:sz w:val="28"/>
      <w:szCs w:val="36"/>
      <w:lang w:bidi="ar"/>
    </w:rPr>
  </w:style>
  <w:style w:type="paragraph" w:customStyle="1" w:styleId="19">
    <w:name w:val="WPSOffice手动目录 1"/>
    <w:autoRedefine/>
    <w:qFormat/>
    <w:uiPriority w:val="0"/>
    <w:pPr>
      <w:ind w:leftChars="0"/>
    </w:pPr>
    <w:rPr>
      <w:rFonts w:ascii="Times New Roman" w:hAnsi="Times New Roman" w:eastAsia="宋体" w:cs="Times New Roman"/>
      <w:sz w:val="20"/>
      <w:szCs w:val="20"/>
    </w:rPr>
  </w:style>
  <w:style w:type="paragraph" w:customStyle="1" w:styleId="20">
    <w:name w:val="WPSOffice手动目录 2"/>
    <w:autoRedefine/>
    <w:qFormat/>
    <w:uiPriority w:val="0"/>
    <w:pPr>
      <w:ind w:leftChars="200"/>
    </w:pPr>
    <w:rPr>
      <w:rFonts w:ascii="Times New Roman" w:hAnsi="Times New Roman" w:eastAsia="宋体" w:cs="Times New Roman"/>
      <w:sz w:val="20"/>
      <w:szCs w:val="20"/>
    </w:rPr>
  </w:style>
  <w:style w:type="character" w:customStyle="1" w:styleId="21">
    <w:name w:val="NormalCharacter"/>
    <w:basedOn w:val="1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蓝色点线科技画册2"/>
      <sectRole val="1"/>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16142</Words>
  <Characters>22368</Characters>
  <Lines>0</Lines>
  <Paragraphs>0</Paragraphs>
  <TotalTime>5</TotalTime>
  <ScaleCrop>false</ScaleCrop>
  <LinksUpToDate>false</LinksUpToDate>
  <CharactersWithSpaces>22493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2019-12-12T12:44:00Z</dcterms:created>
  <dc:creator>咕咕</dc:creator>
  <cp:lastModifiedBy>密博士</cp:lastModifiedBy>
  <dcterms:modified xsi:type="dcterms:W3CDTF">2024-12-25T08:33:02Z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AB4575F920FB4C728DD3560E4A9661D4</vt:lpwstr>
  </property>
  <property fmtid="{D5CDD505-2E9C-101B-9397-08002B2CF9AE}" pid="4" name="KSOSaveFontToCloudKey">
    <vt:lpwstr>590610_btnclosed</vt:lpwstr>
  </property>
</Properties>
</file>